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498" w:type="dxa"/>
        <w:tblInd w:w="-176" w:type="dxa"/>
        <w:tblLook w:val="04A0" w:firstRow="1" w:lastRow="0" w:firstColumn="1" w:lastColumn="0" w:noHBand="0" w:noVBand="1"/>
      </w:tblPr>
      <w:tblGrid>
        <w:gridCol w:w="2014"/>
        <w:gridCol w:w="2098"/>
        <w:gridCol w:w="2976"/>
        <w:gridCol w:w="2410"/>
      </w:tblGrid>
      <w:tr w:rsidR="00134F05" w:rsidRPr="006120AC" w14:paraId="27DC45A6" w14:textId="77777777" w:rsidTr="0020057F">
        <w:tc>
          <w:tcPr>
            <w:tcW w:w="2014" w:type="dxa"/>
            <w:shd w:val="clear" w:color="auto" w:fill="0070C0"/>
            <w:vAlign w:val="center"/>
          </w:tcPr>
          <w:p w14:paraId="40450272" w14:textId="77777777" w:rsidR="00134F05" w:rsidRPr="006120AC" w:rsidRDefault="00134F05" w:rsidP="009C1791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Dominio (s)</w:t>
            </w:r>
          </w:p>
        </w:tc>
        <w:tc>
          <w:tcPr>
            <w:tcW w:w="2098" w:type="dxa"/>
            <w:shd w:val="clear" w:color="auto" w:fill="0070C0"/>
            <w:vAlign w:val="center"/>
          </w:tcPr>
          <w:p w14:paraId="327B9300" w14:textId="77777777" w:rsidR="00134F05" w:rsidRPr="006120AC" w:rsidRDefault="00134F05" w:rsidP="009C1791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Principio(s)</w:t>
            </w:r>
          </w:p>
        </w:tc>
        <w:tc>
          <w:tcPr>
            <w:tcW w:w="2976" w:type="dxa"/>
            <w:shd w:val="clear" w:color="auto" w:fill="0070C0"/>
            <w:vAlign w:val="center"/>
          </w:tcPr>
          <w:p w14:paraId="49C33AB2" w14:textId="77777777" w:rsidR="00134F05" w:rsidRPr="006120AC" w:rsidRDefault="00134F05" w:rsidP="009C1791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Norma(s)</w:t>
            </w:r>
          </w:p>
        </w:tc>
        <w:tc>
          <w:tcPr>
            <w:tcW w:w="2410" w:type="dxa"/>
            <w:shd w:val="clear" w:color="auto" w:fill="0070C0"/>
            <w:vAlign w:val="center"/>
          </w:tcPr>
          <w:p w14:paraId="61AF9461" w14:textId="59C02A6E" w:rsidR="00134F05" w:rsidRPr="006120AC" w:rsidRDefault="00134F05" w:rsidP="009C1791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Documentos </w:t>
            </w:r>
            <w:r w:rsidR="003339CF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CHU</w:t>
            </w:r>
            <w:r w:rsidR="00C67413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 </w:t>
            </w: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relacionados</w:t>
            </w:r>
          </w:p>
        </w:tc>
      </w:tr>
      <w:tr w:rsidR="00687A70" w:rsidRPr="006120AC" w14:paraId="21DB7608" w14:textId="77777777" w:rsidTr="0020057F">
        <w:tc>
          <w:tcPr>
            <w:tcW w:w="2014" w:type="dxa"/>
            <w:vMerge w:val="restart"/>
            <w:vAlign w:val="center"/>
          </w:tcPr>
          <w:p w14:paraId="20DD7E88" w14:textId="77777777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9D4013">
              <w:rPr>
                <w:rFonts w:ascii="Arial" w:eastAsia="Calibri" w:hAnsi="Arial" w:cs="Arial"/>
                <w:lang w:val="es-ES"/>
              </w:rPr>
              <w:t>Dominio IV: Gestión de la Función de Auditoría Interna</w:t>
            </w:r>
          </w:p>
          <w:p w14:paraId="540EBB97" w14:textId="63ACB798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98" w:type="dxa"/>
            <w:vAlign w:val="center"/>
          </w:tcPr>
          <w:p w14:paraId="543F7349" w14:textId="6516F864" w:rsidR="00687A70" w:rsidRPr="00646131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487937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</w:tc>
        <w:tc>
          <w:tcPr>
            <w:tcW w:w="2976" w:type="dxa"/>
            <w:vAlign w:val="center"/>
          </w:tcPr>
          <w:p w14:paraId="213692C9" w14:textId="3D43F91B" w:rsidR="00687A70" w:rsidRPr="00730C71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F3556">
              <w:rPr>
                <w:rFonts w:ascii="Arial" w:eastAsia="Calibri" w:hAnsi="Arial" w:cs="Arial"/>
                <w:lang w:val="es-ES"/>
              </w:rPr>
              <w:t>Norma 9.3 Metodologías</w:t>
            </w:r>
          </w:p>
        </w:tc>
        <w:tc>
          <w:tcPr>
            <w:tcW w:w="2410" w:type="dxa"/>
          </w:tcPr>
          <w:p w14:paraId="45A9E5A3" w14:textId="73B86669" w:rsidR="00687A70" w:rsidRPr="007C17D6" w:rsidRDefault="00687A70" w:rsidP="00687A70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B13544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687A70" w:rsidRPr="006120AC" w14:paraId="717C9EF8" w14:textId="77777777" w:rsidTr="0020057F">
        <w:tc>
          <w:tcPr>
            <w:tcW w:w="2014" w:type="dxa"/>
            <w:vMerge/>
            <w:vAlign w:val="center"/>
          </w:tcPr>
          <w:p w14:paraId="76ADC2F7" w14:textId="77777777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2098" w:type="dxa"/>
            <w:vMerge w:val="restart"/>
            <w:vAlign w:val="center"/>
          </w:tcPr>
          <w:p w14:paraId="031D71B9" w14:textId="77777777" w:rsidR="00687A70" w:rsidRPr="00646131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646131">
              <w:rPr>
                <w:rFonts w:ascii="Arial" w:eastAsia="Calibri" w:hAnsi="Arial" w:cs="Arial"/>
                <w:lang w:val="es-ES"/>
              </w:rPr>
              <w:t>Principio 11 Comunicar Efectivamente</w:t>
            </w:r>
          </w:p>
        </w:tc>
        <w:tc>
          <w:tcPr>
            <w:tcW w:w="2976" w:type="dxa"/>
            <w:vAlign w:val="center"/>
          </w:tcPr>
          <w:p w14:paraId="1BA08094" w14:textId="123D7966" w:rsidR="00687A70" w:rsidRPr="00730C71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30C71">
              <w:rPr>
                <w:rFonts w:ascii="Arial" w:eastAsia="Calibri" w:hAnsi="Arial" w:cs="Arial"/>
                <w:lang w:val="es-ES"/>
              </w:rPr>
              <w:t>Norma 11.1 Construcción de relaciones y comunicación con las partes interesadas</w:t>
            </w:r>
          </w:p>
          <w:p w14:paraId="77717459" w14:textId="77777777" w:rsidR="00687A70" w:rsidRPr="009D4013" w:rsidRDefault="00687A70" w:rsidP="00687A70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10" w:type="dxa"/>
            <w:vAlign w:val="center"/>
          </w:tcPr>
          <w:p w14:paraId="56896F38" w14:textId="3CC33FB6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687A70" w:rsidRPr="006120AC" w14:paraId="155798B6" w14:textId="77777777" w:rsidTr="0020057F">
        <w:tc>
          <w:tcPr>
            <w:tcW w:w="2014" w:type="dxa"/>
            <w:vMerge/>
            <w:vAlign w:val="center"/>
          </w:tcPr>
          <w:p w14:paraId="54EB71F3" w14:textId="77777777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2098" w:type="dxa"/>
            <w:vMerge/>
            <w:vAlign w:val="center"/>
          </w:tcPr>
          <w:p w14:paraId="677F59CE" w14:textId="77777777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2976" w:type="dxa"/>
            <w:vAlign w:val="center"/>
          </w:tcPr>
          <w:p w14:paraId="1BA52E92" w14:textId="322A0CE5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30C71">
              <w:rPr>
                <w:rFonts w:ascii="Arial" w:eastAsia="Calibri" w:hAnsi="Arial" w:cs="Arial"/>
                <w:lang w:val="es-ES"/>
              </w:rPr>
              <w:t>Norma 11.2 Comunicación efectiva</w:t>
            </w:r>
          </w:p>
        </w:tc>
        <w:tc>
          <w:tcPr>
            <w:tcW w:w="2410" w:type="dxa"/>
          </w:tcPr>
          <w:p w14:paraId="2AF85EBF" w14:textId="1BF74AA7" w:rsidR="00687A70" w:rsidRPr="003C6BE5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B13544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687A70" w:rsidRPr="006120AC" w14:paraId="511438D7" w14:textId="77777777" w:rsidTr="0020057F">
        <w:tc>
          <w:tcPr>
            <w:tcW w:w="2014" w:type="dxa"/>
            <w:vMerge/>
            <w:vAlign w:val="center"/>
          </w:tcPr>
          <w:p w14:paraId="5C8A30FE" w14:textId="77777777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2098" w:type="dxa"/>
            <w:vMerge/>
            <w:vAlign w:val="center"/>
          </w:tcPr>
          <w:p w14:paraId="3C8666ED" w14:textId="77777777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2976" w:type="dxa"/>
            <w:vAlign w:val="center"/>
          </w:tcPr>
          <w:p w14:paraId="0B276619" w14:textId="365D3E41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30C71">
              <w:rPr>
                <w:rFonts w:ascii="Arial" w:eastAsia="Calibri" w:hAnsi="Arial" w:cs="Arial"/>
                <w:lang w:val="es-ES"/>
              </w:rPr>
              <w:t>Norma 11.3 Comunicación de resultados</w:t>
            </w:r>
          </w:p>
        </w:tc>
        <w:tc>
          <w:tcPr>
            <w:tcW w:w="2410" w:type="dxa"/>
          </w:tcPr>
          <w:p w14:paraId="018471F3" w14:textId="52E552CC" w:rsidR="00687A70" w:rsidRPr="003C6BE5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B13544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687A70" w:rsidRPr="006120AC" w14:paraId="7050571D" w14:textId="77777777" w:rsidTr="0020057F">
        <w:tc>
          <w:tcPr>
            <w:tcW w:w="2014" w:type="dxa"/>
            <w:vMerge/>
            <w:vAlign w:val="center"/>
          </w:tcPr>
          <w:p w14:paraId="0FD5677A" w14:textId="77777777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2098" w:type="dxa"/>
            <w:vMerge/>
            <w:vAlign w:val="center"/>
          </w:tcPr>
          <w:p w14:paraId="08EF6A52" w14:textId="77777777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2976" w:type="dxa"/>
            <w:vAlign w:val="center"/>
          </w:tcPr>
          <w:p w14:paraId="63CE8BB3" w14:textId="477032E4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30C71">
              <w:rPr>
                <w:rFonts w:ascii="Arial" w:eastAsia="Calibri" w:hAnsi="Arial" w:cs="Arial"/>
                <w:lang w:val="es-ES"/>
              </w:rPr>
              <w:t>Norma 11.4 Errores y omisiones.</w:t>
            </w:r>
          </w:p>
        </w:tc>
        <w:tc>
          <w:tcPr>
            <w:tcW w:w="2410" w:type="dxa"/>
          </w:tcPr>
          <w:p w14:paraId="05D24FE9" w14:textId="7CB88539" w:rsidR="00687A70" w:rsidRPr="003C6BE5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B13544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687A70" w:rsidRPr="006120AC" w14:paraId="7BE95B9F" w14:textId="77777777" w:rsidTr="0020057F">
        <w:trPr>
          <w:trHeight w:val="79"/>
        </w:trPr>
        <w:tc>
          <w:tcPr>
            <w:tcW w:w="2014" w:type="dxa"/>
            <w:vMerge/>
            <w:vAlign w:val="center"/>
          </w:tcPr>
          <w:p w14:paraId="552AD996" w14:textId="77777777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2098" w:type="dxa"/>
            <w:vMerge/>
            <w:vAlign w:val="center"/>
          </w:tcPr>
          <w:p w14:paraId="67EA389D" w14:textId="77777777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2976" w:type="dxa"/>
            <w:vAlign w:val="center"/>
          </w:tcPr>
          <w:p w14:paraId="1F8AD92C" w14:textId="7EFCE87E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30C71">
              <w:rPr>
                <w:rFonts w:ascii="Arial" w:eastAsia="Calibri" w:hAnsi="Arial" w:cs="Arial"/>
                <w:lang w:val="es-ES"/>
              </w:rPr>
              <w:t>Norma 11.5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730C71">
              <w:rPr>
                <w:rFonts w:ascii="Arial" w:eastAsia="Calibri" w:hAnsi="Arial" w:cs="Arial"/>
                <w:lang w:val="es-ES"/>
              </w:rPr>
              <w:t>Comunicación de la aceptación de riesgos</w:t>
            </w:r>
          </w:p>
        </w:tc>
        <w:tc>
          <w:tcPr>
            <w:tcW w:w="2410" w:type="dxa"/>
          </w:tcPr>
          <w:p w14:paraId="2CBA234F" w14:textId="05C71473" w:rsidR="00687A70" w:rsidRPr="003C6BE5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B13544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687A70" w:rsidRPr="006120AC" w14:paraId="3C72BD51" w14:textId="77777777" w:rsidTr="0020057F">
        <w:tc>
          <w:tcPr>
            <w:tcW w:w="2014" w:type="dxa"/>
            <w:vMerge w:val="restart"/>
            <w:vAlign w:val="center"/>
          </w:tcPr>
          <w:p w14:paraId="03A775E3" w14:textId="77777777" w:rsidR="00687A70" w:rsidRPr="009D4013" w:rsidRDefault="00687A70" w:rsidP="00687A70">
            <w:pPr>
              <w:rPr>
                <w:rFonts w:ascii="Arial" w:eastAsia="Calibri" w:hAnsi="Arial" w:cs="Arial"/>
                <w:lang w:val="es-ES"/>
              </w:rPr>
            </w:pPr>
            <w:r w:rsidRPr="009D4013">
              <w:rPr>
                <w:rFonts w:ascii="Arial" w:eastAsia="Calibri" w:hAnsi="Arial" w:cs="Arial"/>
                <w:lang w:val="es-ES"/>
              </w:rPr>
              <w:t>Dominio V: Realización de Servicios de Auditoría</w:t>
            </w:r>
          </w:p>
          <w:p w14:paraId="26C49A28" w14:textId="77777777" w:rsidR="00687A70" w:rsidRPr="009D4013" w:rsidRDefault="00687A70" w:rsidP="00687A70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98" w:type="dxa"/>
            <w:vAlign w:val="center"/>
          </w:tcPr>
          <w:p w14:paraId="5F5AC69F" w14:textId="0D51C865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675B3">
              <w:rPr>
                <w:rFonts w:ascii="Arial" w:eastAsia="Calibri" w:hAnsi="Arial" w:cs="Arial"/>
                <w:lang w:val="es-ES"/>
              </w:rPr>
              <w:t>Principio 13 Planificar eficazmente los trabajos</w:t>
            </w:r>
          </w:p>
        </w:tc>
        <w:tc>
          <w:tcPr>
            <w:tcW w:w="2976" w:type="dxa"/>
            <w:vAlign w:val="center"/>
          </w:tcPr>
          <w:p w14:paraId="3882B6A7" w14:textId="4EB0C23B" w:rsidR="00687A70" w:rsidRPr="00C068FD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675B3">
              <w:rPr>
                <w:rFonts w:ascii="Arial" w:eastAsia="Calibri" w:hAnsi="Arial" w:cs="Arial"/>
                <w:lang w:val="es-ES"/>
              </w:rPr>
              <w:t>Norma 13.1 Comunicación durante el trabajo</w:t>
            </w:r>
          </w:p>
        </w:tc>
        <w:tc>
          <w:tcPr>
            <w:tcW w:w="2410" w:type="dxa"/>
          </w:tcPr>
          <w:p w14:paraId="09A5E5EF" w14:textId="53BA0AD9" w:rsidR="00687A70" w:rsidRPr="003C6BE5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B13544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687A70" w:rsidRPr="006120AC" w14:paraId="412DC388" w14:textId="77777777" w:rsidTr="0020057F">
        <w:trPr>
          <w:trHeight w:val="1518"/>
        </w:trPr>
        <w:tc>
          <w:tcPr>
            <w:tcW w:w="2014" w:type="dxa"/>
            <w:vMerge/>
            <w:vAlign w:val="center"/>
          </w:tcPr>
          <w:p w14:paraId="65C1F5AF" w14:textId="77777777" w:rsidR="00687A70" w:rsidRPr="009D4013" w:rsidRDefault="00687A70" w:rsidP="00687A70">
            <w:pPr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98" w:type="dxa"/>
            <w:vAlign w:val="center"/>
          </w:tcPr>
          <w:p w14:paraId="5CFB20ED" w14:textId="77777777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9D4013">
              <w:rPr>
                <w:rFonts w:ascii="Arial" w:eastAsia="Calibri" w:hAnsi="Arial" w:cs="Arial"/>
                <w:lang w:val="es-ES"/>
              </w:rPr>
              <w:t>Principio 15 Comunicar los Resultados del Trabajo y Monitorear los Planes de Acción</w:t>
            </w:r>
          </w:p>
        </w:tc>
        <w:tc>
          <w:tcPr>
            <w:tcW w:w="2976" w:type="dxa"/>
            <w:vAlign w:val="center"/>
          </w:tcPr>
          <w:p w14:paraId="292B0295" w14:textId="382073BE" w:rsidR="00687A70" w:rsidRPr="009D4013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C068FD">
              <w:rPr>
                <w:rFonts w:ascii="Arial" w:eastAsia="Calibri" w:hAnsi="Arial" w:cs="Arial"/>
                <w:lang w:val="es-ES"/>
              </w:rPr>
              <w:t>Norma 15.1 Comunicación Final de la Auditoría</w:t>
            </w:r>
          </w:p>
        </w:tc>
        <w:tc>
          <w:tcPr>
            <w:tcW w:w="2410" w:type="dxa"/>
          </w:tcPr>
          <w:p w14:paraId="720EE9D7" w14:textId="436E33A1" w:rsidR="00687A70" w:rsidRPr="003C6BE5" w:rsidRDefault="00687A70" w:rsidP="00687A70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B13544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</w:tbl>
    <w:p w14:paraId="200B118B" w14:textId="77777777" w:rsidR="00687A70" w:rsidRDefault="00687A70" w:rsidP="00A60CEF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71CCD98D" w14:textId="024B5BBD" w:rsidR="00A60CEF" w:rsidRDefault="00A60CEF" w:rsidP="00A60CEF">
      <w:pPr>
        <w:jc w:val="center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498" w:type="dxa"/>
        <w:tblInd w:w="-318" w:type="dxa"/>
        <w:tblLook w:val="04A0" w:firstRow="1" w:lastRow="0" w:firstColumn="1" w:lastColumn="0" w:noHBand="0" w:noVBand="1"/>
      </w:tblPr>
      <w:tblGrid>
        <w:gridCol w:w="8223"/>
        <w:gridCol w:w="1275"/>
      </w:tblGrid>
      <w:tr w:rsidR="00A60CEF" w14:paraId="192A32D3" w14:textId="77777777" w:rsidTr="00A97B6A">
        <w:trPr>
          <w:trHeight w:val="208"/>
        </w:trPr>
        <w:tc>
          <w:tcPr>
            <w:tcW w:w="8223" w:type="dxa"/>
            <w:shd w:val="clear" w:color="auto" w:fill="0070C0"/>
            <w:vAlign w:val="center"/>
          </w:tcPr>
          <w:p w14:paraId="5AC2EA6F" w14:textId="77777777" w:rsidR="00A60CEF" w:rsidRPr="009F5635" w:rsidRDefault="00A60CEF" w:rsidP="00A60CEF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275" w:type="dxa"/>
            <w:shd w:val="clear" w:color="auto" w:fill="0070C0"/>
            <w:vAlign w:val="center"/>
          </w:tcPr>
          <w:p w14:paraId="02A89A0A" w14:textId="6DE24C82" w:rsidR="00A60CEF" w:rsidRPr="009F5635" w:rsidRDefault="00A60CEF" w:rsidP="00A60CEF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Página</w:t>
            </w:r>
          </w:p>
        </w:tc>
      </w:tr>
      <w:tr w:rsidR="00A60CEF" w14:paraId="0611A28E" w14:textId="77777777" w:rsidTr="00A97B6A">
        <w:tc>
          <w:tcPr>
            <w:tcW w:w="8223" w:type="dxa"/>
          </w:tcPr>
          <w:p w14:paraId="02EC7D2F" w14:textId="54C0970D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5" w:type="dxa"/>
          </w:tcPr>
          <w:p w14:paraId="458B24DA" w14:textId="1DD6CE99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23CC070A" w14:textId="77777777" w:rsidTr="00A97B6A">
        <w:tc>
          <w:tcPr>
            <w:tcW w:w="8223" w:type="dxa"/>
          </w:tcPr>
          <w:p w14:paraId="6D95E684" w14:textId="077BB9F8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5" w:type="dxa"/>
          </w:tcPr>
          <w:p w14:paraId="2AB95A5A" w14:textId="7B6FB4E5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22C92A39" w14:textId="77777777" w:rsidTr="00A97B6A">
        <w:tc>
          <w:tcPr>
            <w:tcW w:w="8223" w:type="dxa"/>
          </w:tcPr>
          <w:p w14:paraId="6536C407" w14:textId="2103C582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5" w:type="dxa"/>
          </w:tcPr>
          <w:p w14:paraId="010B1FA2" w14:textId="309A0D7A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48EAB8B2" w14:textId="77777777" w:rsidR="00A60CEF" w:rsidRDefault="00A60CEF" w:rsidP="00A60CEF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5113" w:type="pct"/>
        <w:tblInd w:w="-318" w:type="dxa"/>
        <w:tblLook w:val="04A0" w:firstRow="1" w:lastRow="0" w:firstColumn="1" w:lastColumn="0" w:noHBand="0" w:noVBand="1"/>
      </w:tblPr>
      <w:tblGrid>
        <w:gridCol w:w="2496"/>
        <w:gridCol w:w="2958"/>
        <w:gridCol w:w="1651"/>
        <w:gridCol w:w="2393"/>
      </w:tblGrid>
      <w:tr w:rsidR="00A60CEF" w:rsidRPr="00AB4C9C" w14:paraId="73547EDA" w14:textId="77777777" w:rsidTr="00D72575">
        <w:trPr>
          <w:trHeight w:val="70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FBC7368" w14:textId="77777777" w:rsidR="00A60CEF" w:rsidRPr="00AB4C9C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AB4C9C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Responsable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BA44874" w14:textId="77777777" w:rsidR="00A60CEF" w:rsidRPr="00AB4C9C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AB4C9C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Nombre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87C64BA" w14:textId="77777777" w:rsidR="00A60CEF" w:rsidRPr="00AB4C9C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AB4C9C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Fecha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37312490" w14:textId="77777777" w:rsidR="00A60CEF" w:rsidRPr="00AB4C9C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AB4C9C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Firma</w:t>
            </w:r>
          </w:p>
        </w:tc>
      </w:tr>
      <w:tr w:rsidR="00A60CEF" w:rsidRPr="00AB4C9C" w14:paraId="24B437A2" w14:textId="77777777" w:rsidTr="00D72575">
        <w:trPr>
          <w:trHeight w:val="420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6989" w14:textId="77777777" w:rsidR="00A60CEF" w:rsidRPr="00AB4C9C" w:rsidRDefault="00A60CEF" w:rsidP="00AA6980">
            <w:pPr>
              <w:rPr>
                <w:rFonts w:ascii="Arial" w:eastAsia="Calibri" w:hAnsi="Arial" w:cs="Arial"/>
                <w:b/>
                <w:lang w:val="es-ES"/>
              </w:rPr>
            </w:pPr>
            <w:r w:rsidRPr="00AB4C9C">
              <w:rPr>
                <w:rFonts w:ascii="Arial" w:eastAsia="Calibri" w:hAnsi="Arial" w:cs="Arial"/>
                <w:b/>
                <w:lang w:val="es-ES"/>
              </w:rPr>
              <w:t>Realizado por: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5575" w14:textId="77777777" w:rsidR="00A60CEF" w:rsidRPr="00AB4C9C" w:rsidRDefault="00A60CEF" w:rsidP="00AA698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352F" w14:textId="77777777" w:rsidR="00A60CEF" w:rsidRPr="00AB4C9C" w:rsidRDefault="00A60CEF" w:rsidP="00AA698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1116" w14:textId="77777777" w:rsidR="00A60CEF" w:rsidRPr="00AB4C9C" w:rsidRDefault="00A60CEF" w:rsidP="00AA6980">
            <w:pPr>
              <w:rPr>
                <w:rFonts w:ascii="Arial" w:eastAsia="Calibri" w:hAnsi="Arial" w:cs="Arial"/>
                <w:b/>
                <w:lang w:val="es-ES"/>
              </w:rPr>
            </w:pPr>
          </w:p>
        </w:tc>
      </w:tr>
      <w:tr w:rsidR="00A60CEF" w:rsidRPr="00AB4C9C" w14:paraId="726A5F68" w14:textId="77777777" w:rsidTr="00D72575">
        <w:trPr>
          <w:trHeight w:val="465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1600" w14:textId="77777777" w:rsidR="00A60CEF" w:rsidRPr="00AB4C9C" w:rsidRDefault="00A60CEF" w:rsidP="00AA6980">
            <w:pPr>
              <w:rPr>
                <w:rFonts w:ascii="Arial" w:eastAsia="Calibri" w:hAnsi="Arial" w:cs="Arial"/>
                <w:b/>
                <w:lang w:val="es-ES"/>
              </w:rPr>
            </w:pPr>
            <w:r w:rsidRPr="00AB4C9C">
              <w:rPr>
                <w:rFonts w:ascii="Arial" w:eastAsia="Calibri" w:hAnsi="Arial" w:cs="Arial"/>
                <w:b/>
                <w:lang w:val="es-ES"/>
              </w:rPr>
              <w:t>Revisado por: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C7CD" w14:textId="77777777" w:rsidR="00A60CEF" w:rsidRPr="00AB4C9C" w:rsidRDefault="00A60CEF" w:rsidP="00AA698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0075" w14:textId="77777777" w:rsidR="00A60CEF" w:rsidRPr="00AB4C9C" w:rsidRDefault="00A60CEF" w:rsidP="00AA698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3B15" w14:textId="77777777" w:rsidR="00A60CEF" w:rsidRPr="00AB4C9C" w:rsidRDefault="00A60CEF" w:rsidP="00AA6980">
            <w:pPr>
              <w:rPr>
                <w:rFonts w:ascii="Arial" w:eastAsia="Calibri" w:hAnsi="Arial" w:cs="Arial"/>
                <w:b/>
                <w:lang w:val="es-ES"/>
              </w:rPr>
            </w:pPr>
          </w:p>
        </w:tc>
      </w:tr>
      <w:tr w:rsidR="00A60CEF" w:rsidRPr="00AB4C9C" w14:paraId="19DF6BDF" w14:textId="77777777" w:rsidTr="00D72575">
        <w:trPr>
          <w:trHeight w:val="430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FD42" w14:textId="77777777" w:rsidR="00A60CEF" w:rsidRPr="00AB4C9C" w:rsidRDefault="00A60CEF" w:rsidP="00AA6980">
            <w:pPr>
              <w:rPr>
                <w:rFonts w:ascii="Arial" w:eastAsia="Calibri" w:hAnsi="Arial" w:cs="Arial"/>
                <w:b/>
                <w:lang w:val="es-ES"/>
              </w:rPr>
            </w:pPr>
            <w:r w:rsidRPr="00AB4C9C">
              <w:rPr>
                <w:rFonts w:ascii="Arial" w:eastAsia="Calibri" w:hAnsi="Arial" w:cs="Arial"/>
                <w:b/>
                <w:lang w:val="es-ES"/>
              </w:rPr>
              <w:t>Aprobado por: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BD24" w14:textId="77777777" w:rsidR="00A60CEF" w:rsidRPr="00AB4C9C" w:rsidRDefault="00A60CEF" w:rsidP="00AA698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0B22" w14:textId="77777777" w:rsidR="00A60CEF" w:rsidRPr="00AB4C9C" w:rsidRDefault="00A60CEF" w:rsidP="00AA698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755" w14:textId="77777777" w:rsidR="00A60CEF" w:rsidRPr="00AB4C9C" w:rsidRDefault="00A60CEF" w:rsidP="00AA6980">
            <w:pPr>
              <w:rPr>
                <w:rFonts w:ascii="Arial" w:eastAsia="Calibri" w:hAnsi="Arial" w:cs="Arial"/>
                <w:b/>
                <w:lang w:val="es-ES"/>
              </w:rPr>
            </w:pPr>
          </w:p>
        </w:tc>
      </w:tr>
    </w:tbl>
    <w:p w14:paraId="1A2D23F5" w14:textId="77777777" w:rsidR="00946EFC" w:rsidRDefault="00946EFC" w:rsidP="00451669">
      <w:pPr>
        <w:jc w:val="both"/>
        <w:rPr>
          <w:rFonts w:ascii="Arial" w:eastAsia="Calibri" w:hAnsi="Arial" w:cs="Arial"/>
          <w:b/>
          <w:bCs/>
        </w:rPr>
      </w:pPr>
    </w:p>
    <w:p w14:paraId="7BE3FD74" w14:textId="77777777" w:rsidR="0020057F" w:rsidRDefault="0020057F" w:rsidP="00451669">
      <w:pPr>
        <w:jc w:val="both"/>
        <w:rPr>
          <w:rFonts w:ascii="Arial" w:eastAsia="Calibri" w:hAnsi="Arial" w:cs="Arial"/>
          <w:b/>
          <w:bCs/>
        </w:rPr>
      </w:pPr>
    </w:p>
    <w:p w14:paraId="7A45FC80" w14:textId="45266FF2" w:rsidR="00451669" w:rsidRPr="00132364" w:rsidRDefault="00451669" w:rsidP="00451669">
      <w:pPr>
        <w:jc w:val="both"/>
        <w:rPr>
          <w:rFonts w:ascii="Arial" w:eastAsia="Calibri" w:hAnsi="Arial" w:cs="Arial"/>
          <w:b/>
          <w:bCs/>
        </w:rPr>
      </w:pPr>
      <w:r w:rsidRPr="00451669">
        <w:rPr>
          <w:rFonts w:ascii="Arial" w:eastAsia="Calibri" w:hAnsi="Arial" w:cs="Arial"/>
          <w:b/>
          <w:bCs/>
        </w:rPr>
        <w:lastRenderedPageBreak/>
        <w:t>1. OBJETIVO</w:t>
      </w:r>
    </w:p>
    <w:p w14:paraId="777B743C" w14:textId="44135CCF" w:rsidR="0080678A" w:rsidRPr="0020057F" w:rsidRDefault="00CA72D7" w:rsidP="0020057F">
      <w:pPr>
        <w:jc w:val="both"/>
        <w:rPr>
          <w:rFonts w:ascii="Arial" w:hAnsi="Arial" w:cs="Arial"/>
        </w:rPr>
      </w:pPr>
      <w:r w:rsidRPr="0020057F">
        <w:rPr>
          <w:rFonts w:ascii="Arial" w:eastAsia="Calibri" w:hAnsi="Arial" w:cs="Arial"/>
        </w:rPr>
        <w:t xml:space="preserve">Establecer los principios y lineamientos fundamentales </w:t>
      </w:r>
      <w:r w:rsidRPr="0020057F">
        <w:rPr>
          <w:rFonts w:ascii="Arial" w:hAnsi="Arial" w:cs="Arial"/>
        </w:rPr>
        <w:t xml:space="preserve">para la comunicación clara y coherente de la función de auditoría interna con todas las partes interesadas, asegurando transparencia, oportunidad, relevancia, confidencialidad e integridad de la información. </w:t>
      </w:r>
    </w:p>
    <w:p w14:paraId="6ABCF361" w14:textId="7B0B870E" w:rsidR="00451669" w:rsidRPr="0020057F" w:rsidRDefault="00CA72D7" w:rsidP="0020057F">
      <w:pPr>
        <w:jc w:val="both"/>
        <w:rPr>
          <w:rFonts w:ascii="Arial" w:eastAsia="Calibri" w:hAnsi="Arial" w:cs="Arial"/>
          <w:b/>
          <w:bCs/>
        </w:rPr>
      </w:pPr>
      <w:r w:rsidRPr="0020057F">
        <w:rPr>
          <w:rFonts w:ascii="Arial" w:hAnsi="Arial" w:cs="Arial"/>
        </w:rPr>
        <w:t>.</w:t>
      </w:r>
      <w:r w:rsidR="00193394" w:rsidRPr="0020057F">
        <w:rPr>
          <w:rFonts w:ascii="Arial" w:eastAsia="Calibri" w:hAnsi="Arial" w:cs="Arial"/>
          <w:b/>
          <w:bCs/>
        </w:rPr>
        <w:t>2. ALCANCE</w:t>
      </w:r>
    </w:p>
    <w:p w14:paraId="48A96558" w14:textId="77777777" w:rsidR="00127E77" w:rsidRPr="0020057F" w:rsidRDefault="00127E77" w:rsidP="0020057F">
      <w:pPr>
        <w:jc w:val="both"/>
        <w:rPr>
          <w:rFonts w:ascii="Arial" w:eastAsia="Calibri" w:hAnsi="Arial" w:cs="Arial"/>
        </w:rPr>
      </w:pPr>
      <w:r w:rsidRPr="0020057F">
        <w:rPr>
          <w:rFonts w:ascii="Arial" w:eastAsia="Calibri" w:hAnsi="Arial" w:cs="Arial"/>
        </w:rPr>
        <w:t xml:space="preserve">Esta política se aplica a la </w:t>
      </w:r>
      <w:r w:rsidRPr="0020057F">
        <w:rPr>
          <w:rFonts w:ascii="Arial" w:hAnsi="Arial" w:cs="Arial"/>
        </w:rPr>
        <w:t>función de auditoría interna</w:t>
      </w:r>
      <w:r w:rsidRPr="0020057F">
        <w:rPr>
          <w:rFonts w:ascii="Arial" w:eastAsia="Calibri" w:hAnsi="Arial" w:cs="Arial"/>
        </w:rPr>
        <w:t xml:space="preserve"> </w:t>
      </w:r>
      <w:bookmarkStart w:id="0" w:name="_Hlk80710321"/>
      <w:r w:rsidRPr="0020057F">
        <w:rPr>
          <w:rFonts w:ascii="Arial" w:eastAsia="Calibri" w:hAnsi="Arial" w:cs="Arial"/>
        </w:rPr>
        <w:t xml:space="preserve">del Servicio </w:t>
      </w:r>
      <w:bookmarkEnd w:id="0"/>
      <w:r w:rsidRPr="0020057F">
        <w:rPr>
          <w:rFonts w:ascii="Arial" w:eastAsia="Calibri" w:hAnsi="Arial" w:cs="Arial"/>
        </w:rPr>
        <w:t xml:space="preserve">y a cualquier persona que se desempeñe como auditor interno en labores permanentes o no, dentro del Servicio, </w:t>
      </w:r>
      <w:bookmarkStart w:id="1" w:name="_Hlk80710363"/>
      <w:r w:rsidRPr="0020057F">
        <w:rPr>
          <w:rFonts w:ascii="Arial" w:eastAsia="Calibri" w:hAnsi="Arial" w:cs="Arial"/>
        </w:rPr>
        <w:t>direcciones, divisiones, unidades funcionales, etc. cuyos procesos sean objeto de trabajos de auditoría interna.</w:t>
      </w:r>
    </w:p>
    <w:p w14:paraId="1CEE8C32" w14:textId="45A7D0F2" w:rsidR="004751F0" w:rsidRPr="0020057F" w:rsidRDefault="004751F0" w:rsidP="0020057F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25BA5"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Para efectos de esta política, </w:t>
      </w:r>
      <w:r w:rsidRPr="00425BA5">
        <w:rPr>
          <w:rStyle w:val="Strong"/>
          <w:rFonts w:ascii="Arial" w:hAnsi="Arial" w:cs="Arial"/>
          <w:sz w:val="22"/>
          <w:szCs w:val="22"/>
        </w:rPr>
        <w:t>el</w:t>
      </w:r>
      <w:r w:rsidRPr="00425BA5">
        <w:rPr>
          <w:rFonts w:ascii="Arial" w:hAnsi="Arial" w:cs="Arial"/>
          <w:sz w:val="22"/>
          <w:szCs w:val="22"/>
        </w:rPr>
        <w:t xml:space="preserve"> </w:t>
      </w:r>
      <w:r w:rsidR="00425BA5" w:rsidRPr="00425BA5">
        <w:rPr>
          <w:rFonts w:ascii="Arial" w:hAnsi="Arial" w:cs="Arial"/>
          <w:sz w:val="22"/>
          <w:szCs w:val="22"/>
        </w:rPr>
        <w:t xml:space="preserve">Consejo de Auditoría Interna General de Gobierno (CAIGG) o el </w:t>
      </w:r>
      <w:r w:rsidRPr="00425BA5">
        <w:rPr>
          <w:rFonts w:ascii="Arial" w:hAnsi="Arial" w:cs="Arial"/>
          <w:sz w:val="22"/>
          <w:szCs w:val="22"/>
        </w:rPr>
        <w:t>Servicio</w:t>
      </w:r>
      <w:r w:rsidRPr="0020057F">
        <w:rPr>
          <w:rFonts w:ascii="Arial" w:hAnsi="Arial" w:cs="Arial"/>
          <w:sz w:val="22"/>
          <w:szCs w:val="22"/>
        </w:rPr>
        <w:t xml:space="preserve"> de Auditoría Interna de Gobierno (SAIG) </w:t>
      </w:r>
      <w:r w:rsidR="00425BA5">
        <w:rPr>
          <w:rFonts w:ascii="Arial" w:hAnsi="Arial" w:cs="Arial"/>
          <w:sz w:val="22"/>
          <w:szCs w:val="22"/>
        </w:rPr>
        <w:t xml:space="preserve">son </w:t>
      </w:r>
      <w:r w:rsidRPr="0020057F">
        <w:rPr>
          <w:rFonts w:ascii="Arial" w:hAnsi="Arial" w:cs="Arial"/>
          <w:sz w:val="22"/>
          <w:szCs w:val="22"/>
        </w:rPr>
        <w:t>reconocido</w:t>
      </w:r>
      <w:r w:rsidR="00425BA5">
        <w:rPr>
          <w:rFonts w:ascii="Arial" w:hAnsi="Arial" w:cs="Arial"/>
          <w:sz w:val="22"/>
          <w:szCs w:val="22"/>
        </w:rPr>
        <w:t>s</w:t>
      </w:r>
      <w:r w:rsidRPr="0020057F">
        <w:rPr>
          <w:rFonts w:ascii="Arial" w:hAnsi="Arial" w:cs="Arial"/>
          <w:sz w:val="22"/>
          <w:szCs w:val="22"/>
        </w:rPr>
        <w:t xml:space="preserve"> como la Unidad Central de Armonización (Central Harmonisation Unit - 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068526D2" w14:textId="77777777" w:rsidR="004751F0" w:rsidRPr="0020057F" w:rsidRDefault="004751F0" w:rsidP="0020057F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5A1BACF" w14:textId="77777777" w:rsidR="00127E77" w:rsidRPr="0020057F" w:rsidRDefault="00127E77" w:rsidP="0020057F">
      <w:pPr>
        <w:jc w:val="both"/>
        <w:rPr>
          <w:rFonts w:ascii="Arial" w:eastAsia="Calibri" w:hAnsi="Arial" w:cs="Arial"/>
        </w:rPr>
      </w:pPr>
      <w:bookmarkStart w:id="2" w:name="_Hlk80710385"/>
      <w:bookmarkEnd w:id="1"/>
      <w:r w:rsidRPr="0020057F">
        <w:rPr>
          <w:rFonts w:ascii="Arial" w:eastAsia="Calibri" w:hAnsi="Arial" w:cs="Arial"/>
        </w:rPr>
        <w:t xml:space="preserve">A esta política, estarán subordinadas todas las metodologías, procedimientos y prácticas que sean formalizadas para su implementación en la </w:t>
      </w:r>
      <w:r w:rsidRPr="0020057F">
        <w:rPr>
          <w:rFonts w:ascii="Arial" w:hAnsi="Arial" w:cs="Arial"/>
        </w:rPr>
        <w:t>función de auditoría interna</w:t>
      </w:r>
      <w:r w:rsidRPr="0020057F">
        <w:rPr>
          <w:rFonts w:ascii="Arial" w:eastAsia="Calibri" w:hAnsi="Arial" w:cs="Arial"/>
        </w:rPr>
        <w:t xml:space="preserve"> del Servicio.</w:t>
      </w:r>
    </w:p>
    <w:bookmarkEnd w:id="2"/>
    <w:p w14:paraId="21C6456A" w14:textId="33DF315A" w:rsidR="00F356E7" w:rsidRPr="0060471D" w:rsidRDefault="00F356E7" w:rsidP="00F356E7">
      <w:pPr>
        <w:jc w:val="both"/>
        <w:rPr>
          <w:rFonts w:ascii="Arial" w:eastAsia="Calibri" w:hAnsi="Arial" w:cs="Arial"/>
          <w:b/>
          <w:bCs/>
        </w:rPr>
      </w:pPr>
      <w:r w:rsidRPr="0060471D">
        <w:rPr>
          <w:rFonts w:ascii="Arial" w:eastAsia="Calibri" w:hAnsi="Arial" w:cs="Arial"/>
          <w:b/>
          <w:bCs/>
        </w:rPr>
        <w:t>3. RESPONSABILIDADES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06"/>
        <w:gridCol w:w="6066"/>
      </w:tblGrid>
      <w:tr w:rsidR="00CA0209" w:rsidRPr="0060471D" w14:paraId="27C25546" w14:textId="77777777" w:rsidTr="007036C2">
        <w:tc>
          <w:tcPr>
            <w:tcW w:w="3006" w:type="dxa"/>
            <w:shd w:val="clear" w:color="auto" w:fill="0070C0"/>
          </w:tcPr>
          <w:p w14:paraId="4E61B452" w14:textId="7DE3C1AF" w:rsidR="00CA0209" w:rsidRPr="0060471D" w:rsidRDefault="00CA0209" w:rsidP="000C2DD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60471D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6066" w:type="dxa"/>
            <w:shd w:val="clear" w:color="auto" w:fill="0070C0"/>
          </w:tcPr>
          <w:p w14:paraId="154F8C34" w14:textId="45E830C8" w:rsidR="00CA0209" w:rsidRPr="0060471D" w:rsidRDefault="00CA0209" w:rsidP="000C2DD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60471D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EB66C9" w:rsidRPr="0060471D" w14:paraId="07BF4F52" w14:textId="77777777" w:rsidTr="0060471D">
        <w:tc>
          <w:tcPr>
            <w:tcW w:w="3006" w:type="dxa"/>
            <w:vAlign w:val="center"/>
          </w:tcPr>
          <w:p w14:paraId="59BD22FF" w14:textId="5DE7E926" w:rsidR="00EB66C9" w:rsidRPr="0060471D" w:rsidRDefault="00E80816" w:rsidP="00C87208">
            <w:pPr>
              <w:jc w:val="center"/>
              <w:rPr>
                <w:rFonts w:ascii="Arial" w:hAnsi="Arial" w:cs="Arial"/>
                <w:b/>
                <w:bCs/>
              </w:rPr>
            </w:pPr>
            <w:r w:rsidRPr="00E80816">
              <w:rPr>
                <w:rFonts w:ascii="Arial" w:hAnsi="Arial" w:cs="Arial"/>
                <w:b/>
                <w:bCs/>
              </w:rPr>
              <w:t>Jefe de Servicio</w:t>
            </w:r>
          </w:p>
        </w:tc>
        <w:tc>
          <w:tcPr>
            <w:tcW w:w="6066" w:type="dxa"/>
          </w:tcPr>
          <w:p w14:paraId="13910DE0" w14:textId="1071A9DE" w:rsidR="00DF13A7" w:rsidRPr="00EE4A8F" w:rsidRDefault="00DF13A7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hAnsi="Arial" w:cs="Arial"/>
              </w:rPr>
            </w:pPr>
            <w:r w:rsidRPr="00EE4A8F">
              <w:rPr>
                <w:rFonts w:ascii="Arial" w:hAnsi="Arial" w:cs="Arial"/>
              </w:rPr>
              <w:t xml:space="preserve">Aprueba y supervisa la política de comunicación de la </w:t>
            </w:r>
            <w:r w:rsidR="00EE4A8F" w:rsidRPr="00EE4A8F">
              <w:rPr>
                <w:rFonts w:ascii="Arial" w:hAnsi="Arial" w:cs="Arial"/>
              </w:rPr>
              <w:t>función de auditoría interna.</w:t>
            </w:r>
          </w:p>
          <w:p w14:paraId="3ECE05F2" w14:textId="77777777" w:rsidR="00DF13A7" w:rsidRPr="00EE4A8F" w:rsidRDefault="00DF13A7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hAnsi="Arial" w:cs="Arial"/>
              </w:rPr>
            </w:pPr>
            <w:r w:rsidRPr="00EE4A8F">
              <w:rPr>
                <w:rFonts w:ascii="Arial" w:hAnsi="Arial" w:cs="Arial"/>
              </w:rPr>
              <w:t>Asegura la disponibilidad de recursos y respaldo institucional.</w:t>
            </w:r>
          </w:p>
          <w:p w14:paraId="47F471D2" w14:textId="00C6D7E7" w:rsidR="00EB66C9" w:rsidRPr="00EE4A8F" w:rsidRDefault="00DF13A7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hAnsi="Arial" w:cs="Arial"/>
              </w:rPr>
            </w:pPr>
            <w:r w:rsidRPr="00EE4A8F">
              <w:rPr>
                <w:rFonts w:ascii="Arial" w:hAnsi="Arial" w:cs="Arial"/>
              </w:rPr>
              <w:t>Conoce y autoriza la aceptación de riesgos significativos, asegurando su debida justificación.</w:t>
            </w:r>
          </w:p>
        </w:tc>
      </w:tr>
      <w:tr w:rsidR="00F356E7" w:rsidRPr="0060471D" w14:paraId="76C721A5" w14:textId="77777777" w:rsidTr="0060471D">
        <w:tc>
          <w:tcPr>
            <w:tcW w:w="3006" w:type="dxa"/>
            <w:vAlign w:val="center"/>
          </w:tcPr>
          <w:p w14:paraId="654E229D" w14:textId="60B9B9C1" w:rsidR="00F356E7" w:rsidRPr="0060471D" w:rsidRDefault="00E75C33" w:rsidP="00C87208">
            <w:pPr>
              <w:jc w:val="center"/>
              <w:rPr>
                <w:rFonts w:ascii="Arial" w:eastAsia="Calibri" w:hAnsi="Arial" w:cs="Arial"/>
                <w:b/>
              </w:rPr>
            </w:pPr>
            <w:r w:rsidRPr="0060471D">
              <w:rPr>
                <w:rFonts w:ascii="Arial" w:hAnsi="Arial" w:cs="Arial"/>
                <w:b/>
                <w:bCs/>
              </w:rPr>
              <w:t xml:space="preserve">Jefe </w:t>
            </w:r>
            <w:r w:rsidR="00614EFA" w:rsidRPr="0060471D">
              <w:rPr>
                <w:rFonts w:ascii="Arial" w:hAnsi="Arial" w:cs="Arial"/>
                <w:b/>
                <w:bCs/>
              </w:rPr>
              <w:t>de Auditoría</w:t>
            </w:r>
          </w:p>
        </w:tc>
        <w:tc>
          <w:tcPr>
            <w:tcW w:w="6066" w:type="dxa"/>
          </w:tcPr>
          <w:p w14:paraId="4F89B07B" w14:textId="77777777" w:rsidR="0075718C" w:rsidRPr="00EE4A8F" w:rsidRDefault="0075718C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hAnsi="Arial" w:cs="Arial"/>
              </w:rPr>
            </w:pPr>
            <w:r w:rsidRPr="00EE4A8F">
              <w:rPr>
                <w:rFonts w:ascii="Arial" w:hAnsi="Arial" w:cs="Arial"/>
              </w:rPr>
              <w:t>Diseña la estrategia de comunicación y establece canales formales con las partes interesadas.</w:t>
            </w:r>
          </w:p>
          <w:p w14:paraId="70443526" w14:textId="77777777" w:rsidR="0075718C" w:rsidRPr="00EE4A8F" w:rsidRDefault="0075718C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hAnsi="Arial" w:cs="Arial"/>
              </w:rPr>
            </w:pPr>
            <w:r w:rsidRPr="00EE4A8F">
              <w:rPr>
                <w:rFonts w:ascii="Arial" w:hAnsi="Arial" w:cs="Arial"/>
              </w:rPr>
              <w:t>Supervisa la elaboración de informes, previniendo errores u omisiones.</w:t>
            </w:r>
          </w:p>
          <w:p w14:paraId="088C2E75" w14:textId="35490A5A" w:rsidR="0075718C" w:rsidRPr="00EE4A8F" w:rsidRDefault="0075718C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eastAsia="Calibri" w:hAnsi="Arial" w:cs="Arial"/>
                <w:bCs/>
              </w:rPr>
            </w:pPr>
            <w:r w:rsidRPr="00EE4A8F">
              <w:rPr>
                <w:rFonts w:ascii="Arial" w:hAnsi="Arial" w:cs="Arial"/>
              </w:rPr>
              <w:t>Comunica la aceptación de riesgos al Jefe de Servicio y la Alta Dirección, evaluando la pertinencia de la decisión.</w:t>
            </w:r>
          </w:p>
          <w:p w14:paraId="0192C61E" w14:textId="2A5B3850" w:rsidR="00F356E7" w:rsidRPr="00EE4A8F" w:rsidRDefault="00762DC5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eastAsia="Calibri" w:hAnsi="Arial" w:cs="Arial"/>
                <w:bCs/>
              </w:rPr>
            </w:pPr>
            <w:r w:rsidRPr="00EE4A8F">
              <w:rPr>
                <w:rFonts w:ascii="Arial" w:hAnsi="Arial" w:cs="Arial"/>
              </w:rPr>
              <w:t>Garantiza que se establezcan y cumplan los lineamientos para la comunicación de hallazgos, aceptación de riesgos y corrección de errores en los informes de auditoría.</w:t>
            </w:r>
          </w:p>
        </w:tc>
      </w:tr>
      <w:tr w:rsidR="00F748E2" w:rsidRPr="0060471D" w14:paraId="224ABCE1" w14:textId="77777777" w:rsidTr="0060471D">
        <w:tc>
          <w:tcPr>
            <w:tcW w:w="3006" w:type="dxa"/>
            <w:vAlign w:val="center"/>
          </w:tcPr>
          <w:p w14:paraId="5062B259" w14:textId="3A984D61" w:rsidR="00F748E2" w:rsidRPr="0060471D" w:rsidRDefault="00D72575" w:rsidP="0060471D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Supervisor </w:t>
            </w:r>
          </w:p>
        </w:tc>
        <w:tc>
          <w:tcPr>
            <w:tcW w:w="6066" w:type="dxa"/>
          </w:tcPr>
          <w:p w14:paraId="45BC3BC3" w14:textId="269896ED" w:rsidR="00D4476F" w:rsidRPr="00EE4A8F" w:rsidRDefault="008C63C6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eastAsia="Calibri" w:hAnsi="Arial" w:cs="Arial"/>
                <w:bCs/>
              </w:rPr>
            </w:pPr>
            <w:r w:rsidRPr="00EE4A8F">
              <w:rPr>
                <w:rFonts w:ascii="Arial" w:eastAsia="Calibri" w:hAnsi="Arial" w:cs="Arial"/>
                <w:bCs/>
              </w:rPr>
              <w:t>Supervisa la ejecución de las auditorías y el cumplimiento de los lineamientos de comunicación e informes</w:t>
            </w:r>
            <w:r w:rsidR="00D4476F" w:rsidRPr="00EE4A8F">
              <w:rPr>
                <w:rFonts w:ascii="Arial" w:eastAsia="Calibri" w:hAnsi="Arial" w:cs="Arial"/>
                <w:bCs/>
              </w:rPr>
              <w:t xml:space="preserve"> de auditoría antes de su presentación.</w:t>
            </w:r>
          </w:p>
          <w:p w14:paraId="614D7816" w14:textId="664A0361" w:rsidR="00D4476F" w:rsidRPr="00EE4A8F" w:rsidRDefault="00D4476F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eastAsia="Calibri" w:hAnsi="Arial" w:cs="Arial"/>
                <w:bCs/>
              </w:rPr>
            </w:pPr>
            <w:r w:rsidRPr="00EE4A8F">
              <w:rPr>
                <w:rFonts w:ascii="Arial" w:eastAsia="Calibri" w:hAnsi="Arial" w:cs="Arial"/>
                <w:bCs/>
              </w:rPr>
              <w:lastRenderedPageBreak/>
              <w:t xml:space="preserve">Coordina la comunicación entre </w:t>
            </w:r>
            <w:r w:rsidR="005D4A8B">
              <w:rPr>
                <w:rFonts w:ascii="Arial" w:eastAsia="Calibri" w:hAnsi="Arial" w:cs="Arial"/>
                <w:bCs/>
              </w:rPr>
              <w:t xml:space="preserve">los </w:t>
            </w:r>
            <w:r w:rsidRPr="00EE4A8F">
              <w:rPr>
                <w:rFonts w:ascii="Arial" w:eastAsia="Calibri" w:hAnsi="Arial" w:cs="Arial"/>
                <w:bCs/>
              </w:rPr>
              <w:t xml:space="preserve">auditores </w:t>
            </w:r>
            <w:r w:rsidR="005D4A8B">
              <w:rPr>
                <w:rFonts w:ascii="Arial" w:eastAsia="Calibri" w:hAnsi="Arial" w:cs="Arial"/>
                <w:bCs/>
              </w:rPr>
              <w:t xml:space="preserve">internos </w:t>
            </w:r>
            <w:r w:rsidRPr="00EE4A8F">
              <w:rPr>
                <w:rFonts w:ascii="Arial" w:eastAsia="Calibri" w:hAnsi="Arial" w:cs="Arial"/>
                <w:bCs/>
              </w:rPr>
              <w:t>y promueve la retroalimentación de las áreas auditadas.</w:t>
            </w:r>
          </w:p>
          <w:p w14:paraId="7560EC00" w14:textId="7404D26F" w:rsidR="00F748E2" w:rsidRPr="00EE4A8F" w:rsidRDefault="00D4476F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eastAsia="Calibri" w:hAnsi="Arial" w:cs="Arial"/>
                <w:bCs/>
              </w:rPr>
            </w:pPr>
            <w:r w:rsidRPr="00EE4A8F">
              <w:rPr>
                <w:rFonts w:ascii="Arial" w:eastAsia="Calibri" w:hAnsi="Arial" w:cs="Arial"/>
                <w:bCs/>
              </w:rPr>
              <w:t>Controla la calidad y oportunidad de la información entregada.</w:t>
            </w:r>
          </w:p>
        </w:tc>
      </w:tr>
      <w:tr w:rsidR="00D72575" w:rsidRPr="0060471D" w14:paraId="6399D6F6" w14:textId="77777777" w:rsidTr="0060471D">
        <w:tc>
          <w:tcPr>
            <w:tcW w:w="3006" w:type="dxa"/>
            <w:vAlign w:val="center"/>
          </w:tcPr>
          <w:p w14:paraId="248E2C89" w14:textId="2411D558" w:rsidR="00D72575" w:rsidRPr="0060471D" w:rsidRDefault="00D72575" w:rsidP="00D72575">
            <w:pPr>
              <w:jc w:val="center"/>
              <w:rPr>
                <w:rFonts w:ascii="Arial" w:eastAsia="Calibri" w:hAnsi="Arial" w:cs="Arial"/>
                <w:b/>
              </w:rPr>
            </w:pPr>
            <w:r w:rsidRPr="0060471D">
              <w:rPr>
                <w:rFonts w:ascii="Arial" w:eastAsia="Calibri" w:hAnsi="Arial" w:cs="Arial"/>
                <w:b/>
              </w:rPr>
              <w:lastRenderedPageBreak/>
              <w:t>Auditor Interno</w:t>
            </w:r>
          </w:p>
        </w:tc>
        <w:tc>
          <w:tcPr>
            <w:tcW w:w="6066" w:type="dxa"/>
          </w:tcPr>
          <w:p w14:paraId="56C21660" w14:textId="77777777" w:rsidR="00EE4A8F" w:rsidRPr="00EE4A8F" w:rsidRDefault="00EE4A8F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eastAsia="Calibri" w:hAnsi="Arial" w:cs="Arial"/>
                <w:bCs/>
              </w:rPr>
            </w:pPr>
            <w:r w:rsidRPr="00EE4A8F">
              <w:rPr>
                <w:rFonts w:ascii="Arial" w:eastAsia="Calibri" w:hAnsi="Arial" w:cs="Arial"/>
                <w:bCs/>
              </w:rPr>
              <w:t>Elaboran informes claros y fundamentados, protegiendo la confidencialidad de la información.</w:t>
            </w:r>
          </w:p>
          <w:p w14:paraId="6EE140EE" w14:textId="77777777" w:rsidR="00EE4A8F" w:rsidRPr="00EE4A8F" w:rsidRDefault="00EE4A8F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eastAsia="Calibri" w:hAnsi="Arial" w:cs="Arial"/>
                <w:bCs/>
              </w:rPr>
            </w:pPr>
            <w:r w:rsidRPr="00EE4A8F">
              <w:rPr>
                <w:rFonts w:ascii="Arial" w:eastAsia="Calibri" w:hAnsi="Arial" w:cs="Arial"/>
                <w:bCs/>
              </w:rPr>
              <w:t>Corrigen de inmediato errores u omisiones y participan en la retroalimentación.</w:t>
            </w:r>
          </w:p>
          <w:p w14:paraId="7D4F3B10" w14:textId="5284E56B" w:rsidR="00D72575" w:rsidRPr="00EE4A8F" w:rsidRDefault="00EE4A8F" w:rsidP="00EE4A8F">
            <w:pPr>
              <w:pStyle w:val="ListParagraph"/>
              <w:numPr>
                <w:ilvl w:val="0"/>
                <w:numId w:val="27"/>
              </w:numPr>
              <w:ind w:left="428"/>
              <w:jc w:val="both"/>
              <w:rPr>
                <w:rFonts w:ascii="Arial" w:eastAsia="Calibri" w:hAnsi="Arial" w:cs="Arial"/>
                <w:bCs/>
              </w:rPr>
            </w:pPr>
            <w:r w:rsidRPr="00EE4A8F">
              <w:rPr>
                <w:rFonts w:ascii="Arial" w:eastAsia="Calibri" w:hAnsi="Arial" w:cs="Arial"/>
                <w:bCs/>
              </w:rPr>
              <w:t>Utilizan los canales y formatos de comunicación establecidos, adaptándose a las necesidades de las partes interesadas.</w:t>
            </w:r>
          </w:p>
        </w:tc>
      </w:tr>
    </w:tbl>
    <w:p w14:paraId="4910732D" w14:textId="77777777" w:rsidR="00F748E2" w:rsidRDefault="00F748E2" w:rsidP="00451669">
      <w:pPr>
        <w:jc w:val="both"/>
        <w:rPr>
          <w:rFonts w:ascii="Arial" w:eastAsia="Calibri" w:hAnsi="Arial" w:cs="Arial"/>
          <w:b/>
          <w:bCs/>
        </w:rPr>
      </w:pPr>
    </w:p>
    <w:p w14:paraId="42C68E0B" w14:textId="77777777" w:rsidR="00E75C33" w:rsidRDefault="00F356E7" w:rsidP="00E4526F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4. </w:t>
      </w:r>
      <w:r w:rsidR="00D2157C">
        <w:rPr>
          <w:rFonts w:ascii="Arial" w:eastAsia="Calibri" w:hAnsi="Arial" w:cs="Arial"/>
          <w:b/>
          <w:bCs/>
        </w:rPr>
        <w:t>DECLARACIONES DE LA POLÍTICA</w:t>
      </w:r>
    </w:p>
    <w:p w14:paraId="5CF82F4B" w14:textId="3858A610" w:rsidR="00E4526F" w:rsidRDefault="00127E77" w:rsidP="00AB71B0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4.1. </w:t>
      </w:r>
      <w:r w:rsidRPr="00E4526F">
        <w:rPr>
          <w:rFonts w:ascii="Arial" w:eastAsia="Calibri" w:hAnsi="Arial" w:cs="Arial"/>
          <w:b/>
          <w:bCs/>
        </w:rPr>
        <w:t xml:space="preserve">PRINCIPIOS </w:t>
      </w:r>
      <w:r>
        <w:rPr>
          <w:rFonts w:ascii="Arial" w:eastAsia="Calibri" w:hAnsi="Arial" w:cs="Arial"/>
          <w:b/>
          <w:bCs/>
        </w:rPr>
        <w:t>RECTORES</w:t>
      </w:r>
    </w:p>
    <w:p w14:paraId="1313D2C3" w14:textId="327CC77F" w:rsidR="008A1F31" w:rsidRDefault="002A3432" w:rsidP="008A1F3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información debe cumplir siempre con los siguiente</w:t>
      </w:r>
      <w:r w:rsidR="00491EAE">
        <w:rPr>
          <w:rFonts w:ascii="Arial" w:eastAsia="Calibri" w:hAnsi="Arial" w:cs="Arial"/>
        </w:rPr>
        <w:t xml:space="preserve"> principios y criterios</w:t>
      </w:r>
      <w:r w:rsidR="00B161AF">
        <w:rPr>
          <w:rFonts w:ascii="Arial" w:eastAsia="Calibri" w:hAnsi="Arial" w:cs="Arial"/>
        </w:rPr>
        <w:t xml:space="preserve"> de comunicación</w:t>
      </w:r>
      <w:r w:rsidR="00491EAE">
        <w:rPr>
          <w:rFonts w:ascii="Arial" w:eastAsia="Calibri" w:hAnsi="Arial" w:cs="Arial"/>
        </w:rPr>
        <w:t>:</w:t>
      </w:r>
    </w:p>
    <w:p w14:paraId="245620B9" w14:textId="3BB92838" w:rsidR="00057B75" w:rsidRPr="00057B75" w:rsidRDefault="00057B75" w:rsidP="00057B75">
      <w:pPr>
        <w:jc w:val="both"/>
        <w:rPr>
          <w:rFonts w:ascii="Arial" w:eastAsia="Calibri" w:hAnsi="Arial" w:cs="Arial"/>
        </w:rPr>
      </w:pPr>
      <w:r w:rsidRPr="00057B75">
        <w:rPr>
          <w:rFonts w:ascii="Arial" w:eastAsia="Calibri" w:hAnsi="Arial" w:cs="Arial"/>
          <w:b/>
          <w:bCs/>
        </w:rPr>
        <w:t>Transparencia:</w:t>
      </w:r>
      <w:r w:rsidRPr="00057B75">
        <w:rPr>
          <w:rFonts w:ascii="Arial" w:eastAsia="Calibri" w:hAnsi="Arial" w:cs="Arial"/>
        </w:rPr>
        <w:t xml:space="preserve"> Se relaciona con la precisión, claridad, objetividad e integridad. Implica que </w:t>
      </w:r>
      <w:r w:rsidR="00361213">
        <w:rPr>
          <w:rFonts w:ascii="Arial" w:eastAsia="Calibri" w:hAnsi="Arial" w:cs="Arial"/>
        </w:rPr>
        <w:t xml:space="preserve">toda comunicación </w:t>
      </w:r>
      <w:r w:rsidRPr="00057B75">
        <w:rPr>
          <w:rFonts w:ascii="Arial" w:eastAsia="Calibri" w:hAnsi="Arial" w:cs="Arial"/>
        </w:rPr>
        <w:t>debe presentar los hechos de manera honesta, comprensible y sin ocultar información relevante. Una comunicación transparente genera confianza y credibilidad ante las partes interesadas.</w:t>
      </w:r>
    </w:p>
    <w:p w14:paraId="173210E2" w14:textId="125D7703" w:rsidR="00057B75" w:rsidRPr="00057B75" w:rsidRDefault="00057B75" w:rsidP="00057B75">
      <w:pPr>
        <w:jc w:val="both"/>
        <w:rPr>
          <w:rFonts w:ascii="Arial" w:eastAsia="Calibri" w:hAnsi="Arial" w:cs="Arial"/>
        </w:rPr>
      </w:pPr>
      <w:r w:rsidRPr="00057B75">
        <w:rPr>
          <w:rFonts w:ascii="Arial" w:eastAsia="Calibri" w:hAnsi="Arial" w:cs="Arial"/>
          <w:b/>
          <w:bCs/>
        </w:rPr>
        <w:t>Oportunidad:</w:t>
      </w:r>
      <w:r w:rsidRPr="00057B75">
        <w:rPr>
          <w:rFonts w:ascii="Arial" w:eastAsia="Calibri" w:hAnsi="Arial" w:cs="Arial"/>
        </w:rPr>
        <w:t xml:space="preserve"> Este </w:t>
      </w:r>
      <w:r w:rsidR="00361213">
        <w:rPr>
          <w:rFonts w:ascii="Arial" w:eastAsia="Calibri" w:hAnsi="Arial" w:cs="Arial"/>
        </w:rPr>
        <w:t xml:space="preserve">principio </w:t>
      </w:r>
      <w:r w:rsidRPr="00057B75">
        <w:rPr>
          <w:rFonts w:ascii="Arial" w:eastAsia="Calibri" w:hAnsi="Arial" w:cs="Arial"/>
        </w:rPr>
        <w:t>está asociado con la capacidad de comunicar en el momento adecuado. La información debe ser entregada en tiempo útil para que pueda influir de forma efectiva en las decisiones estratégicas o en la implementación de medidas correctivas por parte de la dirección.</w:t>
      </w:r>
    </w:p>
    <w:p w14:paraId="76BE6000" w14:textId="4370D06B" w:rsidR="00057B75" w:rsidRPr="00057B75" w:rsidRDefault="00057B75" w:rsidP="00057B75">
      <w:pPr>
        <w:jc w:val="both"/>
        <w:rPr>
          <w:rFonts w:ascii="Arial" w:eastAsia="Calibri" w:hAnsi="Arial" w:cs="Arial"/>
        </w:rPr>
      </w:pPr>
      <w:r w:rsidRPr="00057B75">
        <w:rPr>
          <w:rFonts w:ascii="Arial" w:eastAsia="Calibri" w:hAnsi="Arial" w:cs="Arial"/>
          <w:b/>
          <w:bCs/>
        </w:rPr>
        <w:t>Relevancia:</w:t>
      </w:r>
      <w:r w:rsidRPr="00057B75">
        <w:rPr>
          <w:rFonts w:ascii="Arial" w:eastAsia="Calibri" w:hAnsi="Arial" w:cs="Arial"/>
        </w:rPr>
        <w:t xml:space="preserve"> Se vincula con la concisión, utilidad y constructividad de la comunicación. Significa que </w:t>
      </w:r>
      <w:r w:rsidR="00361213">
        <w:rPr>
          <w:rFonts w:ascii="Arial" w:eastAsia="Calibri" w:hAnsi="Arial" w:cs="Arial"/>
        </w:rPr>
        <w:t xml:space="preserve">su </w:t>
      </w:r>
      <w:r w:rsidRPr="00057B75">
        <w:rPr>
          <w:rFonts w:ascii="Arial" w:eastAsia="Calibri" w:hAnsi="Arial" w:cs="Arial"/>
        </w:rPr>
        <w:t>contenido debe centrarse en lo esencial</w:t>
      </w:r>
      <w:r w:rsidR="00B208D5">
        <w:rPr>
          <w:rFonts w:ascii="Arial" w:eastAsia="Calibri" w:hAnsi="Arial" w:cs="Arial"/>
        </w:rPr>
        <w:t>, es decir,</w:t>
      </w:r>
      <w:r w:rsidRPr="00057B75">
        <w:rPr>
          <w:rFonts w:ascii="Arial" w:eastAsia="Calibri" w:hAnsi="Arial" w:cs="Arial"/>
        </w:rPr>
        <w:t xml:space="preserve"> riesgos significativos, impactos clave y acciones concretas, evitando incluir detalles innecesarios o irrelevantes para los destinatarios.</w:t>
      </w:r>
    </w:p>
    <w:p w14:paraId="0075DF28" w14:textId="1F61A650" w:rsidR="00057B75" w:rsidRPr="00057B75" w:rsidRDefault="00057B75" w:rsidP="00057B75">
      <w:pPr>
        <w:jc w:val="both"/>
        <w:rPr>
          <w:rFonts w:ascii="Arial" w:eastAsia="Calibri" w:hAnsi="Arial" w:cs="Arial"/>
        </w:rPr>
      </w:pPr>
      <w:r w:rsidRPr="00057B75">
        <w:rPr>
          <w:rFonts w:ascii="Arial" w:eastAsia="Calibri" w:hAnsi="Arial" w:cs="Arial"/>
          <w:b/>
          <w:bCs/>
        </w:rPr>
        <w:t>Confidencialidad:</w:t>
      </w:r>
      <w:r w:rsidRPr="00057B75">
        <w:rPr>
          <w:rFonts w:ascii="Arial" w:eastAsia="Calibri" w:hAnsi="Arial" w:cs="Arial"/>
        </w:rPr>
        <w:t xml:space="preserve"> Relacionada con el debido cuidado profesional y la integridad, exige que la información sensible obtenida </w:t>
      </w:r>
      <w:r w:rsidR="00B208D5">
        <w:rPr>
          <w:rFonts w:ascii="Arial" w:eastAsia="Calibri" w:hAnsi="Arial" w:cs="Arial"/>
        </w:rPr>
        <w:t>por la función de</w:t>
      </w:r>
      <w:r w:rsidRPr="00057B75">
        <w:rPr>
          <w:rFonts w:ascii="Arial" w:eastAsia="Calibri" w:hAnsi="Arial" w:cs="Arial"/>
        </w:rPr>
        <w:t xml:space="preserve"> auditoría </w:t>
      </w:r>
      <w:r w:rsidR="00B208D5">
        <w:rPr>
          <w:rFonts w:ascii="Arial" w:eastAsia="Calibri" w:hAnsi="Arial" w:cs="Arial"/>
        </w:rPr>
        <w:t xml:space="preserve">interna debe ser </w:t>
      </w:r>
      <w:r w:rsidRPr="00057B75">
        <w:rPr>
          <w:rFonts w:ascii="Arial" w:eastAsia="Calibri" w:hAnsi="Arial" w:cs="Arial"/>
        </w:rPr>
        <w:t>protegida conforme a los principios éticos, las leyes y normativas aplicables. Esto incluye controlar el acceso a la información sin comprometer su veracidad ni objetividad.</w:t>
      </w:r>
    </w:p>
    <w:p w14:paraId="44FEBE73" w14:textId="4383D816" w:rsidR="00057B75" w:rsidRPr="00057B75" w:rsidRDefault="00057B75" w:rsidP="00057B75">
      <w:pPr>
        <w:jc w:val="both"/>
        <w:rPr>
          <w:rFonts w:ascii="Arial" w:eastAsia="Calibri" w:hAnsi="Arial" w:cs="Arial"/>
        </w:rPr>
      </w:pPr>
      <w:r w:rsidRPr="00057B75">
        <w:rPr>
          <w:rFonts w:ascii="Arial" w:eastAsia="Calibri" w:hAnsi="Arial" w:cs="Arial"/>
          <w:b/>
          <w:bCs/>
        </w:rPr>
        <w:t>Integridad:</w:t>
      </w:r>
      <w:r w:rsidRPr="00057B75">
        <w:rPr>
          <w:rFonts w:ascii="Arial" w:eastAsia="Calibri" w:hAnsi="Arial" w:cs="Arial"/>
        </w:rPr>
        <w:t xml:space="preserve"> Este </w:t>
      </w:r>
      <w:r w:rsidR="002556C5">
        <w:rPr>
          <w:rFonts w:ascii="Arial" w:eastAsia="Calibri" w:hAnsi="Arial" w:cs="Arial"/>
        </w:rPr>
        <w:t>principio</w:t>
      </w:r>
      <w:r w:rsidRPr="00057B75">
        <w:rPr>
          <w:rFonts w:ascii="Arial" w:eastAsia="Calibri" w:hAnsi="Arial" w:cs="Arial"/>
        </w:rPr>
        <w:t xml:space="preserve"> implica que la comunicación debe reflejar fielmente los hallazgos, sin distorsión, omisión ni sesgo. La integridad en la comunicación asegura que los informes representen con exactitud la realidad observada y sustenten las conclusiones y recomendaciones con evidencia objetiva y verificable.</w:t>
      </w:r>
    </w:p>
    <w:p w14:paraId="7C013E16" w14:textId="77777777" w:rsidR="008A1F31" w:rsidRDefault="008A1F31" w:rsidP="008A1F31">
      <w:pPr>
        <w:jc w:val="both"/>
        <w:rPr>
          <w:rFonts w:ascii="Arial" w:eastAsia="Calibri" w:hAnsi="Arial" w:cs="Arial"/>
        </w:rPr>
      </w:pPr>
    </w:p>
    <w:p w14:paraId="6FFDBAA3" w14:textId="77777777" w:rsidR="00057B75" w:rsidRDefault="00057B75" w:rsidP="008A1F31">
      <w:pPr>
        <w:jc w:val="both"/>
        <w:rPr>
          <w:rFonts w:ascii="Arial" w:eastAsia="Calibri" w:hAnsi="Arial" w:cs="Arial"/>
        </w:rPr>
      </w:pPr>
    </w:p>
    <w:p w14:paraId="45BFC231" w14:textId="7A892FF2" w:rsidR="002D2C77" w:rsidRDefault="008A1F31" w:rsidP="008A1F31">
      <w:pPr>
        <w:jc w:val="both"/>
        <w:rPr>
          <w:rFonts w:ascii="Arial" w:eastAsia="Times New Roman" w:hAnsi="Arial" w:cs="Arial"/>
          <w:b/>
          <w:bCs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t xml:space="preserve"> </w:t>
      </w:r>
    </w:p>
    <w:p w14:paraId="0DAC72F2" w14:textId="4CADE1E4" w:rsidR="001F3554" w:rsidRPr="001F3554" w:rsidRDefault="00127E77" w:rsidP="001F355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lastRenderedPageBreak/>
        <w:t xml:space="preserve">4.2. </w:t>
      </w:r>
      <w:r w:rsidRPr="001F3554">
        <w:rPr>
          <w:rFonts w:ascii="Arial" w:eastAsia="Times New Roman" w:hAnsi="Arial" w:cs="Arial"/>
          <w:b/>
          <w:bCs/>
          <w:lang w:eastAsia="es-CL"/>
        </w:rPr>
        <w:t xml:space="preserve">LINEAMIENTOS </w:t>
      </w:r>
      <w:r>
        <w:rPr>
          <w:rFonts w:ascii="Arial" w:eastAsia="Times New Roman" w:hAnsi="Arial" w:cs="Arial"/>
          <w:b/>
          <w:bCs/>
          <w:lang w:eastAsia="es-CL"/>
        </w:rPr>
        <w:t>FUNDAMENTALES</w:t>
      </w:r>
    </w:p>
    <w:p w14:paraId="46D1B62A" w14:textId="1A666CAE" w:rsidR="00036648" w:rsidRDefault="00D76D85" w:rsidP="0003664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t xml:space="preserve">a. </w:t>
      </w:r>
      <w:r w:rsidR="001F3554" w:rsidRPr="001F3554">
        <w:rPr>
          <w:rFonts w:ascii="Arial" w:eastAsia="Times New Roman" w:hAnsi="Arial" w:cs="Arial"/>
          <w:b/>
          <w:bCs/>
          <w:lang w:eastAsia="es-CL"/>
        </w:rPr>
        <w:t xml:space="preserve">Establecer relaciones y comunicarse con las partes interesadas </w:t>
      </w:r>
    </w:p>
    <w:p w14:paraId="5C77FB7B" w14:textId="5FC24427" w:rsidR="001F3554" w:rsidRPr="001F3554" w:rsidRDefault="001F3554" w:rsidP="0003664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lang w:eastAsia="es-CL"/>
        </w:rPr>
      </w:pPr>
      <w:r w:rsidRPr="001F3554">
        <w:rPr>
          <w:rFonts w:ascii="Arial" w:eastAsia="Times New Roman" w:hAnsi="Arial" w:cs="Arial"/>
          <w:lang w:eastAsia="es-CL"/>
        </w:rPr>
        <w:t xml:space="preserve">La </w:t>
      </w:r>
      <w:r w:rsidR="009525FA">
        <w:rPr>
          <w:rFonts w:ascii="Arial" w:eastAsia="Times New Roman" w:hAnsi="Arial" w:cs="Arial"/>
          <w:lang w:eastAsia="es-CL"/>
        </w:rPr>
        <w:t xml:space="preserve">función de </w:t>
      </w:r>
      <w:r w:rsidRPr="001F3554">
        <w:rPr>
          <w:rFonts w:ascii="Arial" w:eastAsia="Times New Roman" w:hAnsi="Arial" w:cs="Arial"/>
          <w:lang w:eastAsia="es-CL"/>
        </w:rPr>
        <w:t xml:space="preserve">auditoría interna debe mantener un diálogo constante </w:t>
      </w:r>
      <w:r w:rsidR="00551C21">
        <w:rPr>
          <w:rFonts w:ascii="Arial" w:eastAsia="Times New Roman" w:hAnsi="Arial" w:cs="Arial"/>
          <w:lang w:eastAsia="es-CL"/>
        </w:rPr>
        <w:t>el</w:t>
      </w:r>
      <w:r w:rsidRPr="001F3554">
        <w:rPr>
          <w:rFonts w:ascii="Arial" w:eastAsia="Times New Roman" w:hAnsi="Arial" w:cs="Arial"/>
          <w:lang w:eastAsia="es-CL"/>
        </w:rPr>
        <w:t xml:space="preserve"> </w:t>
      </w:r>
      <w:r w:rsidR="00574A30" w:rsidRPr="00574A30">
        <w:rPr>
          <w:rFonts w:ascii="Arial" w:eastAsia="Times New Roman" w:hAnsi="Arial" w:cs="Arial"/>
          <w:lang w:eastAsia="es-CL"/>
        </w:rPr>
        <w:t xml:space="preserve">Jefe de </w:t>
      </w:r>
      <w:r w:rsidR="00574A30">
        <w:rPr>
          <w:rFonts w:ascii="Arial" w:eastAsia="Times New Roman" w:hAnsi="Arial" w:cs="Arial"/>
          <w:lang w:eastAsia="es-CL"/>
        </w:rPr>
        <w:t>Servicio</w:t>
      </w:r>
      <w:r w:rsidR="00E1040E">
        <w:rPr>
          <w:rFonts w:ascii="Arial" w:eastAsia="Times New Roman" w:hAnsi="Arial" w:cs="Arial"/>
          <w:lang w:eastAsia="es-CL"/>
        </w:rPr>
        <w:t xml:space="preserve">, </w:t>
      </w:r>
      <w:r w:rsidR="00E1040E" w:rsidRPr="001F3554">
        <w:rPr>
          <w:rFonts w:ascii="Arial" w:eastAsia="Times New Roman" w:hAnsi="Arial" w:cs="Arial"/>
          <w:lang w:eastAsia="es-CL"/>
        </w:rPr>
        <w:t>la alta dirección</w:t>
      </w:r>
      <w:r w:rsidR="00F87D28">
        <w:rPr>
          <w:rFonts w:ascii="Arial" w:eastAsia="Times New Roman" w:hAnsi="Arial" w:cs="Arial"/>
          <w:lang w:eastAsia="es-CL"/>
        </w:rPr>
        <w:t xml:space="preserve"> cuando corresponda y</w:t>
      </w:r>
      <w:r w:rsidRPr="001F3554">
        <w:rPr>
          <w:rFonts w:ascii="Arial" w:eastAsia="Times New Roman" w:hAnsi="Arial" w:cs="Arial"/>
          <w:lang w:eastAsia="es-CL"/>
        </w:rPr>
        <w:t xml:space="preserve"> otras partes interesadas clave.</w:t>
      </w:r>
    </w:p>
    <w:p w14:paraId="01F77B46" w14:textId="4864C314" w:rsidR="001F3554" w:rsidRPr="001F3554" w:rsidRDefault="001F3554" w:rsidP="00036648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1F3554">
        <w:rPr>
          <w:rFonts w:ascii="Arial" w:eastAsia="Times New Roman" w:hAnsi="Arial" w:cs="Arial"/>
          <w:lang w:eastAsia="es-CL"/>
        </w:rPr>
        <w:t>Se establecerán canales formales de comunicación (reuniones periódicas, informes,</w:t>
      </w:r>
      <w:r w:rsidR="00E1040E">
        <w:rPr>
          <w:rFonts w:ascii="Arial" w:eastAsia="Times New Roman" w:hAnsi="Arial" w:cs="Arial"/>
          <w:lang w:eastAsia="es-CL"/>
        </w:rPr>
        <w:t xml:space="preserve"> etc.</w:t>
      </w:r>
      <w:r w:rsidRPr="001F3554">
        <w:rPr>
          <w:rFonts w:ascii="Arial" w:eastAsia="Times New Roman" w:hAnsi="Arial" w:cs="Arial"/>
          <w:lang w:eastAsia="es-CL"/>
        </w:rPr>
        <w:t>) para asegurar una interacción continua.</w:t>
      </w:r>
    </w:p>
    <w:p w14:paraId="0E40DAE3" w14:textId="77777777" w:rsidR="001F3554" w:rsidRDefault="001F3554" w:rsidP="00036648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1F3554">
        <w:rPr>
          <w:rFonts w:ascii="Arial" w:eastAsia="Times New Roman" w:hAnsi="Arial" w:cs="Arial"/>
          <w:lang w:eastAsia="es-CL"/>
        </w:rPr>
        <w:t>Se fomentará la confianza mediante la comunicación proactiva y el respeto de las necesidades de información de cada parte interesada.</w:t>
      </w:r>
    </w:p>
    <w:p w14:paraId="780937AD" w14:textId="4D0C960D" w:rsidR="00A41070" w:rsidRDefault="00A41070" w:rsidP="00036648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>
        <w:rPr>
          <w:rFonts w:ascii="Arial" w:eastAsia="Times New Roman" w:hAnsi="Arial" w:cs="Arial"/>
          <w:lang w:eastAsia="es-CL"/>
        </w:rPr>
        <w:t xml:space="preserve">Se establecerá </w:t>
      </w:r>
      <w:r w:rsidR="00504482">
        <w:rPr>
          <w:rFonts w:ascii="Arial" w:eastAsia="Times New Roman" w:hAnsi="Arial" w:cs="Arial"/>
          <w:lang w:eastAsia="es-CL"/>
        </w:rPr>
        <w:t xml:space="preserve">un enfoque de </w:t>
      </w:r>
      <w:r w:rsidR="00D76D85">
        <w:rPr>
          <w:rFonts w:ascii="Arial" w:eastAsia="Times New Roman" w:hAnsi="Arial" w:cs="Arial"/>
          <w:lang w:eastAsia="es-CL"/>
        </w:rPr>
        <w:t>Branding</w:t>
      </w:r>
      <w:r w:rsidR="00504482">
        <w:rPr>
          <w:rFonts w:ascii="Arial" w:eastAsia="Times New Roman" w:hAnsi="Arial" w:cs="Arial"/>
          <w:lang w:eastAsia="es-CL"/>
        </w:rPr>
        <w:t xml:space="preserve"> </w:t>
      </w:r>
      <w:r w:rsidR="00D76D85">
        <w:rPr>
          <w:rFonts w:ascii="Arial" w:eastAsia="Times New Roman" w:hAnsi="Arial" w:cs="Arial"/>
          <w:lang w:eastAsia="es-CL"/>
        </w:rPr>
        <w:t xml:space="preserve">(Gestión </w:t>
      </w:r>
      <w:r w:rsidR="00504482">
        <w:rPr>
          <w:rFonts w:ascii="Arial" w:eastAsia="Times New Roman" w:hAnsi="Arial" w:cs="Arial"/>
          <w:lang w:eastAsia="es-CL"/>
        </w:rPr>
        <w:t>de la Marca</w:t>
      </w:r>
      <w:r w:rsidR="00D76D85">
        <w:rPr>
          <w:rFonts w:ascii="Arial" w:eastAsia="Times New Roman" w:hAnsi="Arial" w:cs="Arial"/>
          <w:lang w:eastAsia="es-CL"/>
        </w:rPr>
        <w:t>)</w:t>
      </w:r>
      <w:r w:rsidR="00504482">
        <w:rPr>
          <w:rFonts w:ascii="Arial" w:eastAsia="Times New Roman" w:hAnsi="Arial" w:cs="Arial"/>
          <w:lang w:eastAsia="es-CL"/>
        </w:rPr>
        <w:t xml:space="preserve"> </w:t>
      </w:r>
      <w:r w:rsidR="00AE5526">
        <w:rPr>
          <w:rFonts w:ascii="Arial" w:eastAsia="Times New Roman" w:hAnsi="Arial" w:cs="Arial"/>
          <w:lang w:eastAsia="es-CL"/>
        </w:rPr>
        <w:t>para</w:t>
      </w:r>
      <w:r w:rsidR="00504482">
        <w:rPr>
          <w:rFonts w:ascii="Arial" w:eastAsia="Times New Roman" w:hAnsi="Arial" w:cs="Arial"/>
          <w:lang w:eastAsia="es-CL"/>
        </w:rPr>
        <w:t xml:space="preserve"> </w:t>
      </w:r>
      <w:r w:rsidR="00D32BFD">
        <w:rPr>
          <w:rFonts w:ascii="Arial" w:eastAsia="Times New Roman" w:hAnsi="Arial" w:cs="Arial"/>
          <w:lang w:eastAsia="es-CL"/>
        </w:rPr>
        <w:t>la función de auditoría interna.</w:t>
      </w:r>
    </w:p>
    <w:p w14:paraId="2750D491" w14:textId="26A35206" w:rsidR="00036648" w:rsidRDefault="00D76D85" w:rsidP="0003664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t xml:space="preserve">b. </w:t>
      </w:r>
      <w:r w:rsidR="001F3554" w:rsidRPr="001F3554">
        <w:rPr>
          <w:rFonts w:ascii="Arial" w:eastAsia="Times New Roman" w:hAnsi="Arial" w:cs="Arial"/>
          <w:b/>
          <w:bCs/>
          <w:lang w:eastAsia="es-CL"/>
        </w:rPr>
        <w:t xml:space="preserve">Comunicación eficaz </w:t>
      </w:r>
    </w:p>
    <w:p w14:paraId="23417EFF" w14:textId="77777777" w:rsidR="007F7816" w:rsidRDefault="001F3554" w:rsidP="00FB1785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lang w:eastAsia="es-CL"/>
        </w:rPr>
      </w:pPr>
      <w:r w:rsidRPr="007F7816">
        <w:rPr>
          <w:rFonts w:ascii="Arial" w:eastAsia="Times New Roman" w:hAnsi="Arial" w:cs="Arial"/>
          <w:lang w:eastAsia="es-CL"/>
        </w:rPr>
        <w:t>La comunicación debe adaptarse a las necesidades del receptor en términos de contenido, formato y nivel de detalle.</w:t>
      </w:r>
    </w:p>
    <w:p w14:paraId="5F1055D7" w14:textId="22E56410" w:rsidR="001F3554" w:rsidRPr="007F7816" w:rsidRDefault="001F3554" w:rsidP="00FB1785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lang w:eastAsia="es-CL"/>
        </w:rPr>
      </w:pPr>
      <w:r w:rsidRPr="007F7816">
        <w:rPr>
          <w:rFonts w:ascii="Arial" w:eastAsia="Times New Roman" w:hAnsi="Arial" w:cs="Arial"/>
          <w:lang w:eastAsia="es-CL"/>
        </w:rPr>
        <w:t>Se emplearán diversos medios de comunicación (informes escritos, reuniones, presentaciones, plataformas digitales</w:t>
      </w:r>
      <w:r w:rsidR="00AE5526">
        <w:rPr>
          <w:rFonts w:ascii="Arial" w:eastAsia="Times New Roman" w:hAnsi="Arial" w:cs="Arial"/>
          <w:lang w:eastAsia="es-CL"/>
        </w:rPr>
        <w:t>,</w:t>
      </w:r>
      <w:r w:rsidR="006C5560">
        <w:rPr>
          <w:rFonts w:ascii="Arial" w:eastAsia="Times New Roman" w:hAnsi="Arial" w:cs="Arial"/>
          <w:lang w:eastAsia="es-CL"/>
        </w:rPr>
        <w:t xml:space="preserve"> </w:t>
      </w:r>
      <w:r w:rsidR="00AE5526">
        <w:rPr>
          <w:rFonts w:ascii="Arial" w:eastAsia="Times New Roman" w:hAnsi="Arial" w:cs="Arial"/>
          <w:lang w:eastAsia="es-CL"/>
        </w:rPr>
        <w:t>bro</w:t>
      </w:r>
      <w:r w:rsidR="00894EEC">
        <w:rPr>
          <w:rFonts w:ascii="Arial" w:eastAsia="Times New Roman" w:hAnsi="Arial" w:cs="Arial"/>
          <w:lang w:eastAsia="es-CL"/>
        </w:rPr>
        <w:t>c</w:t>
      </w:r>
      <w:r w:rsidR="00AE5526">
        <w:rPr>
          <w:rFonts w:ascii="Arial" w:eastAsia="Times New Roman" w:hAnsi="Arial" w:cs="Arial"/>
          <w:lang w:eastAsia="es-CL"/>
        </w:rPr>
        <w:t>hure</w:t>
      </w:r>
      <w:r w:rsidR="00BE30B4">
        <w:rPr>
          <w:rFonts w:ascii="Arial" w:eastAsia="Times New Roman" w:hAnsi="Arial" w:cs="Arial"/>
          <w:lang w:eastAsia="es-CL"/>
        </w:rPr>
        <w:t>, intrane</w:t>
      </w:r>
      <w:r w:rsidR="00436A34">
        <w:rPr>
          <w:rFonts w:ascii="Arial" w:eastAsia="Times New Roman" w:hAnsi="Arial" w:cs="Arial"/>
          <w:lang w:eastAsia="es-CL"/>
        </w:rPr>
        <w:t>t</w:t>
      </w:r>
      <w:r w:rsidR="00BE30B4">
        <w:rPr>
          <w:rFonts w:ascii="Arial" w:eastAsia="Times New Roman" w:hAnsi="Arial" w:cs="Arial"/>
          <w:lang w:eastAsia="es-CL"/>
        </w:rPr>
        <w:t xml:space="preserve">, </w:t>
      </w:r>
      <w:r w:rsidR="00894EEC">
        <w:rPr>
          <w:rFonts w:ascii="Arial" w:eastAsia="Times New Roman" w:hAnsi="Arial" w:cs="Arial"/>
          <w:lang w:eastAsia="es-CL"/>
        </w:rPr>
        <w:t>etc.</w:t>
      </w:r>
      <w:r w:rsidRPr="007F7816">
        <w:rPr>
          <w:rFonts w:ascii="Arial" w:eastAsia="Times New Roman" w:hAnsi="Arial" w:cs="Arial"/>
          <w:lang w:eastAsia="es-CL"/>
        </w:rPr>
        <w:t>) para maximizar la comprensión y el impacto de</w:t>
      </w:r>
      <w:r w:rsidR="00436A34">
        <w:rPr>
          <w:rFonts w:ascii="Arial" w:eastAsia="Times New Roman" w:hAnsi="Arial" w:cs="Arial"/>
          <w:lang w:eastAsia="es-CL"/>
        </w:rPr>
        <w:t xml:space="preserve"> los </w:t>
      </w:r>
      <w:r w:rsidRPr="007F7816">
        <w:rPr>
          <w:rFonts w:ascii="Arial" w:eastAsia="Times New Roman" w:hAnsi="Arial" w:cs="Arial"/>
          <w:lang w:eastAsia="es-CL"/>
        </w:rPr>
        <w:t>mensaje</w:t>
      </w:r>
      <w:r w:rsidR="00436A34">
        <w:rPr>
          <w:rFonts w:ascii="Arial" w:eastAsia="Times New Roman" w:hAnsi="Arial" w:cs="Arial"/>
          <w:lang w:eastAsia="es-CL"/>
        </w:rPr>
        <w:t>s</w:t>
      </w:r>
      <w:r w:rsidR="00E967BC">
        <w:rPr>
          <w:rFonts w:ascii="Arial" w:eastAsia="Times New Roman" w:hAnsi="Arial" w:cs="Arial"/>
          <w:lang w:eastAsia="es-CL"/>
        </w:rPr>
        <w:t xml:space="preserve"> </w:t>
      </w:r>
      <w:r w:rsidR="00C75956">
        <w:rPr>
          <w:rFonts w:ascii="Arial" w:eastAsia="Times New Roman" w:hAnsi="Arial" w:cs="Arial"/>
          <w:lang w:eastAsia="es-CL"/>
        </w:rPr>
        <w:t>de la función de auditoría interna</w:t>
      </w:r>
      <w:r w:rsidRPr="007F7816">
        <w:rPr>
          <w:rFonts w:ascii="Arial" w:eastAsia="Times New Roman" w:hAnsi="Arial" w:cs="Arial"/>
          <w:lang w:eastAsia="es-CL"/>
        </w:rPr>
        <w:t>.</w:t>
      </w:r>
    </w:p>
    <w:p w14:paraId="10BA11D1" w14:textId="1D077CA6" w:rsidR="001F3554" w:rsidRPr="001F3554" w:rsidRDefault="001F3554" w:rsidP="0003664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1F3554">
        <w:rPr>
          <w:rFonts w:ascii="Arial" w:eastAsia="Times New Roman" w:hAnsi="Arial" w:cs="Arial"/>
          <w:lang w:eastAsia="es-CL"/>
        </w:rPr>
        <w:t xml:space="preserve">Se establecerán mecanismos de retroalimentación para garantizar que los mensajes sean comprendidos y </w:t>
      </w:r>
      <w:r w:rsidR="00531DA3">
        <w:rPr>
          <w:rFonts w:ascii="Arial" w:eastAsia="Times New Roman" w:hAnsi="Arial" w:cs="Arial"/>
          <w:lang w:eastAsia="es-CL"/>
        </w:rPr>
        <w:t xml:space="preserve">contribuyan a </w:t>
      </w:r>
      <w:r w:rsidRPr="001F3554">
        <w:rPr>
          <w:rFonts w:ascii="Arial" w:eastAsia="Times New Roman" w:hAnsi="Arial" w:cs="Arial"/>
          <w:lang w:eastAsia="es-CL"/>
        </w:rPr>
        <w:t>gener</w:t>
      </w:r>
      <w:r w:rsidR="00531DA3">
        <w:rPr>
          <w:rFonts w:ascii="Arial" w:eastAsia="Times New Roman" w:hAnsi="Arial" w:cs="Arial"/>
          <w:lang w:eastAsia="es-CL"/>
        </w:rPr>
        <w:t xml:space="preserve">ar </w:t>
      </w:r>
      <w:r w:rsidRPr="001F3554">
        <w:rPr>
          <w:rFonts w:ascii="Arial" w:eastAsia="Times New Roman" w:hAnsi="Arial" w:cs="Arial"/>
          <w:lang w:eastAsia="es-CL"/>
        </w:rPr>
        <w:t>valor.</w:t>
      </w:r>
    </w:p>
    <w:p w14:paraId="4D4A4A4E" w14:textId="46666B90" w:rsidR="001F3554" w:rsidRPr="001F3554" w:rsidRDefault="00D72575" w:rsidP="0003664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t xml:space="preserve">c. </w:t>
      </w:r>
      <w:r w:rsidR="001F3554" w:rsidRPr="001F3554">
        <w:rPr>
          <w:rFonts w:ascii="Arial" w:eastAsia="Times New Roman" w:hAnsi="Arial" w:cs="Arial"/>
          <w:b/>
          <w:bCs/>
          <w:lang w:eastAsia="es-CL"/>
        </w:rPr>
        <w:t xml:space="preserve">Comunicar los resultados </w:t>
      </w:r>
    </w:p>
    <w:p w14:paraId="361161D6" w14:textId="7B819741" w:rsidR="001F3554" w:rsidRPr="007F4D78" w:rsidRDefault="001F3554" w:rsidP="007F4D78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7F4D78">
        <w:rPr>
          <w:rFonts w:ascii="Arial" w:eastAsia="Times New Roman" w:hAnsi="Arial" w:cs="Arial"/>
          <w:lang w:eastAsia="es-CL"/>
        </w:rPr>
        <w:t>Los informes de auditoría</w:t>
      </w:r>
      <w:r w:rsidR="00B23CAE">
        <w:rPr>
          <w:rFonts w:ascii="Arial" w:eastAsia="Times New Roman" w:hAnsi="Arial" w:cs="Arial"/>
          <w:lang w:eastAsia="es-CL"/>
        </w:rPr>
        <w:t xml:space="preserve"> interna </w:t>
      </w:r>
      <w:r w:rsidRPr="007F4D78">
        <w:rPr>
          <w:rFonts w:ascii="Arial" w:eastAsia="Times New Roman" w:hAnsi="Arial" w:cs="Arial"/>
          <w:lang w:eastAsia="es-CL"/>
        </w:rPr>
        <w:t xml:space="preserve">deben ser elaborados de manera </w:t>
      </w:r>
      <w:r w:rsidR="007F4D78" w:rsidRPr="007F4D78">
        <w:rPr>
          <w:rFonts w:ascii="Arial" w:eastAsia="Times New Roman" w:hAnsi="Arial" w:cs="Arial"/>
          <w:lang w:eastAsia="es-CL"/>
        </w:rPr>
        <w:t>precisa, objetiva, clara</w:t>
      </w:r>
      <w:r w:rsidR="00B23CAE">
        <w:rPr>
          <w:rFonts w:ascii="Arial" w:eastAsia="Times New Roman" w:hAnsi="Arial" w:cs="Arial"/>
          <w:lang w:eastAsia="es-CL"/>
        </w:rPr>
        <w:t xml:space="preserve">, </w:t>
      </w:r>
      <w:r w:rsidR="007F4D78" w:rsidRPr="007F4D78">
        <w:rPr>
          <w:rFonts w:ascii="Arial" w:eastAsia="Times New Roman" w:hAnsi="Arial" w:cs="Arial"/>
          <w:lang w:eastAsia="es-CL"/>
        </w:rPr>
        <w:t>concisa, constructiva, completa y oportuna.</w:t>
      </w:r>
    </w:p>
    <w:p w14:paraId="53E31DDE" w14:textId="77777777" w:rsidR="001F3554" w:rsidRPr="001F3554" w:rsidRDefault="001F3554" w:rsidP="00036648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1F3554">
        <w:rPr>
          <w:rFonts w:ascii="Arial" w:eastAsia="Times New Roman" w:hAnsi="Arial" w:cs="Arial"/>
          <w:lang w:eastAsia="es-CL"/>
        </w:rPr>
        <w:t>Los hallazgos, recomendaciones y conclusiones deben estar alineados con los objetivos y criterios de auditoría.</w:t>
      </w:r>
    </w:p>
    <w:p w14:paraId="4AFDA04B" w14:textId="77777777" w:rsidR="001F3554" w:rsidRPr="001F3554" w:rsidRDefault="001F3554" w:rsidP="00036648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1F3554">
        <w:rPr>
          <w:rFonts w:ascii="Arial" w:eastAsia="Times New Roman" w:hAnsi="Arial" w:cs="Arial"/>
          <w:lang w:eastAsia="es-CL"/>
        </w:rPr>
        <w:t>Se establecerán tiempos específicos para la entrega de informes y presentaciones a las partes interesadas.</w:t>
      </w:r>
    </w:p>
    <w:p w14:paraId="7EFB447E" w14:textId="46E575B1" w:rsidR="001F3554" w:rsidRPr="001F3554" w:rsidRDefault="00D72575" w:rsidP="0003664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t xml:space="preserve">d. </w:t>
      </w:r>
      <w:r w:rsidR="001F3554" w:rsidRPr="001F3554">
        <w:rPr>
          <w:rFonts w:ascii="Arial" w:eastAsia="Times New Roman" w:hAnsi="Arial" w:cs="Arial"/>
          <w:b/>
          <w:bCs/>
          <w:lang w:eastAsia="es-CL"/>
        </w:rPr>
        <w:t xml:space="preserve">Errores y omisiones </w:t>
      </w:r>
    </w:p>
    <w:p w14:paraId="2E8EDE71" w14:textId="77777777" w:rsidR="00B1421F" w:rsidRDefault="00B1421F" w:rsidP="00036648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B1421F">
        <w:rPr>
          <w:rFonts w:ascii="Arial" w:eastAsia="Times New Roman" w:hAnsi="Arial" w:cs="Arial"/>
          <w:lang w:eastAsia="es-CL"/>
        </w:rPr>
        <w:t xml:space="preserve">En caso de errores u omisiones en la información comunicada, deben corregirse de inmediato e informar a las partes afectadas. </w:t>
      </w:r>
    </w:p>
    <w:p w14:paraId="236415A7" w14:textId="23A93CD1" w:rsidR="001F3554" w:rsidRPr="001F3554" w:rsidRDefault="001F3554" w:rsidP="00036648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1F3554">
        <w:rPr>
          <w:rFonts w:ascii="Arial" w:eastAsia="Times New Roman" w:hAnsi="Arial" w:cs="Arial"/>
          <w:lang w:eastAsia="es-CL"/>
        </w:rPr>
        <w:t xml:space="preserve">Se mantendrá un registro de modificaciones realizadas a los informes de auditoría </w:t>
      </w:r>
      <w:r w:rsidR="00B23CAE" w:rsidRPr="00B23CAE">
        <w:rPr>
          <w:rFonts w:ascii="Arial" w:eastAsia="Times New Roman" w:hAnsi="Arial" w:cs="Arial"/>
          <w:lang w:eastAsia="es-CL"/>
        </w:rPr>
        <w:t xml:space="preserve">interna </w:t>
      </w:r>
      <w:r w:rsidRPr="001F3554">
        <w:rPr>
          <w:rFonts w:ascii="Arial" w:eastAsia="Times New Roman" w:hAnsi="Arial" w:cs="Arial"/>
          <w:lang w:eastAsia="es-CL"/>
        </w:rPr>
        <w:t>para garantizar la trazabilidad.</w:t>
      </w:r>
    </w:p>
    <w:p w14:paraId="519F7332" w14:textId="77777777" w:rsidR="001F3554" w:rsidRDefault="001F3554" w:rsidP="00036648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1F3554">
        <w:rPr>
          <w:rFonts w:ascii="Arial" w:eastAsia="Times New Roman" w:hAnsi="Arial" w:cs="Arial"/>
          <w:lang w:eastAsia="es-CL"/>
        </w:rPr>
        <w:t>La auditoría interna adoptará medidas para prevenir errores futuros mediante revisiones de calidad y supervisión.</w:t>
      </w:r>
    </w:p>
    <w:p w14:paraId="286F2EB1" w14:textId="6EF1E0F6" w:rsidR="00036648" w:rsidRDefault="00D72575" w:rsidP="0003664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es-CL"/>
        </w:rPr>
      </w:pPr>
      <w:r>
        <w:rPr>
          <w:rFonts w:ascii="Arial" w:eastAsia="Times New Roman" w:hAnsi="Arial" w:cs="Arial"/>
          <w:b/>
          <w:bCs/>
          <w:lang w:eastAsia="es-CL"/>
        </w:rPr>
        <w:t xml:space="preserve">e. </w:t>
      </w:r>
      <w:r w:rsidR="001F3554" w:rsidRPr="001F3554">
        <w:rPr>
          <w:rFonts w:ascii="Arial" w:eastAsia="Times New Roman" w:hAnsi="Arial" w:cs="Arial"/>
          <w:b/>
          <w:bCs/>
          <w:lang w:eastAsia="es-CL"/>
        </w:rPr>
        <w:t xml:space="preserve">Comunicar la aceptación de los riesgos </w:t>
      </w:r>
    </w:p>
    <w:p w14:paraId="122334D5" w14:textId="16E625AB" w:rsidR="001F3554" w:rsidRPr="008E7FC9" w:rsidRDefault="001F3554" w:rsidP="008E7FC9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lang w:eastAsia="es-CL"/>
        </w:rPr>
      </w:pPr>
      <w:r w:rsidRPr="008E7FC9">
        <w:rPr>
          <w:rFonts w:ascii="Arial" w:eastAsia="Times New Roman" w:hAnsi="Arial" w:cs="Arial"/>
          <w:lang w:eastAsia="es-CL"/>
        </w:rPr>
        <w:t xml:space="preserve">Cuando la </w:t>
      </w:r>
      <w:r w:rsidR="008F4A13">
        <w:rPr>
          <w:rFonts w:ascii="Arial" w:eastAsia="Times New Roman" w:hAnsi="Arial" w:cs="Arial"/>
          <w:lang w:eastAsia="es-CL"/>
        </w:rPr>
        <w:t>dirección</w:t>
      </w:r>
      <w:r w:rsidR="008F4A13" w:rsidRPr="008E7FC9">
        <w:rPr>
          <w:rFonts w:ascii="Arial" w:eastAsia="Times New Roman" w:hAnsi="Arial" w:cs="Arial"/>
          <w:lang w:eastAsia="es-CL"/>
        </w:rPr>
        <w:t xml:space="preserve"> </w:t>
      </w:r>
      <w:r w:rsidRPr="008E7FC9">
        <w:rPr>
          <w:rFonts w:ascii="Arial" w:eastAsia="Times New Roman" w:hAnsi="Arial" w:cs="Arial"/>
          <w:lang w:eastAsia="es-CL"/>
        </w:rPr>
        <w:t xml:space="preserve">decida aceptar un riesgo que la auditoría interna considere significativo, esta decisión debe ser documentada y comunicada al </w:t>
      </w:r>
      <w:r w:rsidR="008E7FC9">
        <w:rPr>
          <w:rFonts w:ascii="Arial" w:eastAsia="Times New Roman" w:hAnsi="Arial" w:cs="Arial"/>
          <w:lang w:eastAsia="es-CL"/>
        </w:rPr>
        <w:t>Jefe de Servicio</w:t>
      </w:r>
      <w:r w:rsidRPr="008E7FC9">
        <w:rPr>
          <w:rFonts w:ascii="Arial" w:eastAsia="Times New Roman" w:hAnsi="Arial" w:cs="Arial"/>
          <w:lang w:eastAsia="es-CL"/>
        </w:rPr>
        <w:t xml:space="preserve"> y la alta dirección</w:t>
      </w:r>
      <w:r w:rsidR="0044677A">
        <w:rPr>
          <w:rFonts w:ascii="Arial" w:eastAsia="Times New Roman" w:hAnsi="Arial" w:cs="Arial"/>
          <w:lang w:eastAsia="es-CL"/>
        </w:rPr>
        <w:t>, si procede</w:t>
      </w:r>
      <w:r w:rsidRPr="008E7FC9">
        <w:rPr>
          <w:rFonts w:ascii="Arial" w:eastAsia="Times New Roman" w:hAnsi="Arial" w:cs="Arial"/>
          <w:lang w:eastAsia="es-CL"/>
        </w:rPr>
        <w:t>.</w:t>
      </w:r>
    </w:p>
    <w:p w14:paraId="6BAE7C8F" w14:textId="77777777" w:rsidR="001F3554" w:rsidRPr="001F3554" w:rsidRDefault="001F3554" w:rsidP="00036648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1F3554">
        <w:rPr>
          <w:rFonts w:ascii="Arial" w:eastAsia="Times New Roman" w:hAnsi="Arial" w:cs="Arial"/>
          <w:lang w:eastAsia="es-CL"/>
        </w:rPr>
        <w:lastRenderedPageBreak/>
        <w:t>La función de auditoría interna debe evaluar si la aceptación del riesgo es adecuada y proporcionar recomendaciones adicionales si es necesario.</w:t>
      </w:r>
    </w:p>
    <w:p w14:paraId="1FED6819" w14:textId="12BBA8C3" w:rsidR="001F3554" w:rsidRDefault="00734A59" w:rsidP="00036648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>
        <w:rPr>
          <w:rFonts w:ascii="Arial" w:eastAsia="Times New Roman" w:hAnsi="Arial" w:cs="Arial"/>
          <w:lang w:eastAsia="es-CL"/>
        </w:rPr>
        <w:t>T</w:t>
      </w:r>
      <w:r w:rsidR="001F3554" w:rsidRPr="001F3554">
        <w:rPr>
          <w:rFonts w:ascii="Arial" w:eastAsia="Times New Roman" w:hAnsi="Arial" w:cs="Arial"/>
          <w:lang w:eastAsia="es-CL"/>
        </w:rPr>
        <w:t xml:space="preserve">odas las decisiones sobre riesgos </w:t>
      </w:r>
      <w:r>
        <w:rPr>
          <w:rFonts w:ascii="Arial" w:eastAsia="Times New Roman" w:hAnsi="Arial" w:cs="Arial"/>
          <w:lang w:eastAsia="es-CL"/>
        </w:rPr>
        <w:t xml:space="preserve">deben ser </w:t>
      </w:r>
      <w:r w:rsidR="001F3554" w:rsidRPr="001F3554">
        <w:rPr>
          <w:rFonts w:ascii="Arial" w:eastAsia="Times New Roman" w:hAnsi="Arial" w:cs="Arial"/>
          <w:lang w:eastAsia="es-CL"/>
        </w:rPr>
        <w:t xml:space="preserve">documentadas y </w:t>
      </w:r>
      <w:r>
        <w:rPr>
          <w:rFonts w:ascii="Arial" w:eastAsia="Times New Roman" w:hAnsi="Arial" w:cs="Arial"/>
          <w:lang w:eastAsia="es-CL"/>
        </w:rPr>
        <w:t>fundamentadas</w:t>
      </w:r>
      <w:r w:rsidR="001F3554" w:rsidRPr="001F3554">
        <w:rPr>
          <w:rFonts w:ascii="Arial" w:eastAsia="Times New Roman" w:hAnsi="Arial" w:cs="Arial"/>
          <w:lang w:eastAsia="es-CL"/>
        </w:rPr>
        <w:t xml:space="preserve"> con análisis sólidos.</w:t>
      </w:r>
    </w:p>
    <w:p w14:paraId="5F8FD0A2" w14:textId="77777777" w:rsidR="00636182" w:rsidRPr="0044677A" w:rsidRDefault="00636182" w:rsidP="00636182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 w:rsidRPr="0044677A">
        <w:rPr>
          <w:rFonts w:ascii="Arial" w:eastAsia="Times New Roman" w:hAnsi="Arial" w:cs="Arial"/>
          <w:b/>
          <w:bCs/>
          <w:lang w:eastAsia="es-CL"/>
        </w:rPr>
        <w:t>f. Aprobación y Actualización</w:t>
      </w:r>
    </w:p>
    <w:p w14:paraId="691DBBE4" w14:textId="77777777" w:rsidR="005C3D3F" w:rsidRPr="0044677A" w:rsidRDefault="005C3D3F" w:rsidP="005C3D3F">
      <w:pPr>
        <w:pStyle w:val="NormalWeb"/>
        <w:jc w:val="both"/>
        <w:rPr>
          <w:rFonts w:ascii="Arial" w:hAnsi="Arial" w:cs="Arial"/>
          <w:sz w:val="22"/>
          <w:szCs w:val="22"/>
        </w:rPr>
      </w:pPr>
      <w:bookmarkStart w:id="3" w:name="_Hlk191880986"/>
      <w:r w:rsidRPr="0044677A">
        <w:rPr>
          <w:rFonts w:ascii="Arial" w:hAnsi="Arial" w:cs="Arial"/>
          <w:sz w:val="22"/>
          <w:szCs w:val="22"/>
        </w:rPr>
        <w:t xml:space="preserve">Esta política es aprobada por el </w:t>
      </w:r>
      <w:r w:rsidRPr="0044677A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44677A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34BE0BA5" w14:textId="1E3F93B2" w:rsidR="005C3D3F" w:rsidRDefault="005C3D3F" w:rsidP="005C3D3F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44677A">
        <w:rPr>
          <w:rFonts w:ascii="Arial" w:hAnsi="Arial" w:cs="Arial"/>
          <w:sz w:val="22"/>
          <w:szCs w:val="22"/>
        </w:rPr>
        <w:t xml:space="preserve">El </w:t>
      </w:r>
      <w:r w:rsidRPr="0044677A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44677A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44677A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44677A">
        <w:rPr>
          <w:rFonts w:ascii="Arial" w:hAnsi="Arial" w:cs="Arial"/>
          <w:sz w:val="22"/>
          <w:szCs w:val="22"/>
        </w:rPr>
        <w:t xml:space="preserve"> y los lineamientos establecidos por</w:t>
      </w:r>
      <w:r w:rsidR="00A95336">
        <w:rPr>
          <w:rFonts w:ascii="Arial" w:hAnsi="Arial" w:cs="Arial"/>
          <w:sz w:val="22"/>
          <w:szCs w:val="22"/>
        </w:rPr>
        <w:t xml:space="preserve"> </w:t>
      </w:r>
      <w:r w:rsidR="00C67413" w:rsidRPr="00C67413">
        <w:rPr>
          <w:rFonts w:ascii="Arial" w:hAnsi="Arial" w:cs="Arial"/>
          <w:sz w:val="22"/>
          <w:szCs w:val="22"/>
        </w:rPr>
        <w:t>la Unidad Central de Armonización (CHU)</w:t>
      </w:r>
      <w:r w:rsidRPr="0044677A">
        <w:rPr>
          <w:rFonts w:ascii="Arial" w:hAnsi="Arial" w:cs="Arial"/>
          <w:b/>
          <w:bCs/>
          <w:sz w:val="22"/>
          <w:szCs w:val="22"/>
        </w:rPr>
        <w:t>.</w:t>
      </w:r>
    </w:p>
    <w:bookmarkEnd w:id="3"/>
    <w:p w14:paraId="76AB98AD" w14:textId="79A90CB0" w:rsidR="00A60CEF" w:rsidRPr="0044677A" w:rsidRDefault="00A60CEF" w:rsidP="00A60CEF">
      <w:pPr>
        <w:spacing w:after="0"/>
        <w:jc w:val="both"/>
        <w:rPr>
          <w:rFonts w:ascii="Arial" w:eastAsia="Calibri" w:hAnsi="Arial" w:cs="Arial"/>
          <w:b/>
        </w:rPr>
      </w:pPr>
      <w:r w:rsidRPr="0044677A">
        <w:rPr>
          <w:rFonts w:ascii="Arial" w:eastAsia="Calibri" w:hAnsi="Arial" w:cs="Arial"/>
          <w:b/>
        </w:rPr>
        <w:t>5. REGISTRO</w:t>
      </w:r>
    </w:p>
    <w:p w14:paraId="300D2025" w14:textId="77777777" w:rsidR="00A60CEF" w:rsidRPr="0044677A" w:rsidRDefault="00A60CEF" w:rsidP="00A60CEF">
      <w:pPr>
        <w:spacing w:after="0"/>
        <w:jc w:val="both"/>
        <w:rPr>
          <w:rFonts w:ascii="Arial" w:eastAsia="Calibri" w:hAnsi="Arial" w:cs="Arial"/>
          <w:bCs/>
        </w:rPr>
      </w:pPr>
    </w:p>
    <w:p w14:paraId="4C1BDC3B" w14:textId="77777777" w:rsidR="00E1040E" w:rsidRPr="00E1040E" w:rsidRDefault="00E1040E" w:rsidP="00E1040E">
      <w:pPr>
        <w:spacing w:after="0"/>
        <w:jc w:val="both"/>
        <w:rPr>
          <w:rFonts w:ascii="Arial" w:eastAsia="Calibri" w:hAnsi="Arial" w:cs="Arial"/>
          <w:bCs/>
          <w:lang w:val="es-ES"/>
        </w:rPr>
      </w:pPr>
      <w:r w:rsidRPr="00E1040E">
        <w:rPr>
          <w:rFonts w:ascii="Arial" w:eastAsia="Calibri" w:hAnsi="Arial" w:cs="Arial"/>
          <w:bCs/>
          <w:lang w:val="es-ES"/>
        </w:rPr>
        <w:t>Copia de la política aprobada y sus actualizaciones se almacenarán digitalmente durante un período mínimo de XX años. El sistema de almacenamiento garantizará un acceso seguro y restringido, disponible únicamente para el Jefe de Auditoría, los supervisores y terceros autorizados cuando sea necesario.</w:t>
      </w:r>
    </w:p>
    <w:p w14:paraId="63DCA7D6" w14:textId="77777777" w:rsidR="00E1040E" w:rsidRPr="00E1040E" w:rsidRDefault="00E1040E" w:rsidP="00E1040E">
      <w:pPr>
        <w:spacing w:after="0"/>
        <w:jc w:val="both"/>
        <w:rPr>
          <w:rFonts w:ascii="Arial" w:eastAsia="Calibri" w:hAnsi="Arial" w:cs="Arial"/>
          <w:bCs/>
          <w:lang w:val="es-ES"/>
        </w:rPr>
      </w:pPr>
    </w:p>
    <w:p w14:paraId="231FA5DE" w14:textId="77777777" w:rsidR="00E1040E" w:rsidRPr="00E1040E" w:rsidRDefault="00E1040E" w:rsidP="00E1040E">
      <w:pPr>
        <w:spacing w:after="0"/>
        <w:jc w:val="both"/>
        <w:rPr>
          <w:rFonts w:ascii="Arial" w:eastAsia="Calibri" w:hAnsi="Arial" w:cs="Arial"/>
          <w:bCs/>
          <w:lang w:val="es-ES"/>
        </w:rPr>
      </w:pPr>
      <w:r w:rsidRPr="00E1040E">
        <w:rPr>
          <w:rFonts w:ascii="Arial" w:eastAsia="Calibri" w:hAnsi="Arial" w:cs="Arial"/>
          <w:bCs/>
          <w:lang w:val="es-ES"/>
        </w:rPr>
        <w:t>En esta materia, es fundamental considerar la legislación y normativa, tanto general como específica, que regula la conservación, transferencia y eliminación de documentos en el Estado.</w:t>
      </w:r>
    </w:p>
    <w:p w14:paraId="1AEFBEF6" w14:textId="77777777" w:rsidR="00BF3DA1" w:rsidRPr="0044677A" w:rsidRDefault="00BF3DA1" w:rsidP="0085197A">
      <w:pPr>
        <w:spacing w:after="0"/>
        <w:jc w:val="both"/>
        <w:rPr>
          <w:rFonts w:ascii="Arial" w:eastAsia="Calibri" w:hAnsi="Arial" w:cs="Arial"/>
          <w:lang w:val="es-ES"/>
        </w:rPr>
      </w:pPr>
    </w:p>
    <w:p w14:paraId="5034CC85" w14:textId="4E6D3D51" w:rsidR="00A60CEF" w:rsidRPr="0044677A" w:rsidRDefault="00BF3DA1" w:rsidP="00A60CEF">
      <w:pPr>
        <w:spacing w:after="0"/>
        <w:jc w:val="both"/>
        <w:rPr>
          <w:rFonts w:ascii="Arial" w:eastAsia="Calibri" w:hAnsi="Arial" w:cs="Arial"/>
          <w:b/>
        </w:rPr>
      </w:pPr>
      <w:r w:rsidRPr="0044677A">
        <w:rPr>
          <w:rFonts w:ascii="Arial" w:eastAsia="Calibri" w:hAnsi="Arial" w:cs="Arial"/>
          <w:b/>
        </w:rPr>
        <w:t>6</w:t>
      </w:r>
      <w:r w:rsidR="00A60CEF" w:rsidRPr="0044677A">
        <w:rPr>
          <w:rFonts w:ascii="Arial" w:eastAsia="Calibri" w:hAnsi="Arial" w:cs="Arial"/>
          <w:b/>
        </w:rPr>
        <w:t xml:space="preserve">. LISTA DE DISTRIBUCIÓN </w:t>
      </w:r>
    </w:p>
    <w:p w14:paraId="1496EDC0" w14:textId="77777777" w:rsidR="00A60CEF" w:rsidRPr="0044677A" w:rsidRDefault="00A60CEF" w:rsidP="00A60CEF">
      <w:pPr>
        <w:spacing w:after="0"/>
        <w:jc w:val="both"/>
        <w:rPr>
          <w:rFonts w:ascii="Arial" w:eastAsia="Calibri" w:hAnsi="Arial" w:cs="Arial"/>
        </w:rPr>
      </w:pPr>
    </w:p>
    <w:p w14:paraId="73BB7651" w14:textId="2C807EC5" w:rsidR="004B01C9" w:rsidRPr="0044677A" w:rsidRDefault="004B01C9" w:rsidP="004B01C9">
      <w:pPr>
        <w:spacing w:after="0"/>
        <w:jc w:val="both"/>
        <w:rPr>
          <w:rFonts w:ascii="Arial" w:eastAsia="Calibri" w:hAnsi="Arial" w:cs="Arial"/>
        </w:rPr>
      </w:pPr>
      <w:r w:rsidRPr="0044677A">
        <w:rPr>
          <w:rFonts w:ascii="Arial" w:eastAsia="Calibri" w:hAnsi="Arial" w:cs="Arial"/>
        </w:rPr>
        <w:t xml:space="preserve">La presente política será distribuida al Jefe de Servicio, publicada en la página web institucional y difundida en el Servicio y a terceras partes que deban estar en conocimiento, de acuerdo con lo establecido por </w:t>
      </w:r>
      <w:r w:rsidR="00C67413" w:rsidRPr="00C67413">
        <w:rPr>
          <w:rFonts w:ascii="Arial" w:eastAsia="Calibri" w:hAnsi="Arial" w:cs="Arial"/>
        </w:rPr>
        <w:t>la Unidad Central de Armonización (CHU)</w:t>
      </w:r>
      <w:r w:rsidRPr="0044677A">
        <w:rPr>
          <w:rFonts w:ascii="Arial" w:eastAsia="Calibri" w:hAnsi="Arial" w:cs="Arial"/>
        </w:rPr>
        <w:t xml:space="preserve">, la Contraloría General de la República y las normas pertinentes. </w:t>
      </w:r>
    </w:p>
    <w:p w14:paraId="5147A1B1" w14:textId="77777777" w:rsidR="00740675" w:rsidRPr="0044677A" w:rsidRDefault="00740675" w:rsidP="00BE3FE6">
      <w:pPr>
        <w:spacing w:after="0"/>
        <w:jc w:val="both"/>
        <w:rPr>
          <w:rFonts w:ascii="Arial" w:eastAsia="Calibri" w:hAnsi="Arial" w:cs="Arial"/>
        </w:rPr>
      </w:pPr>
    </w:p>
    <w:p w14:paraId="327F0A69" w14:textId="7DF5B0EA" w:rsidR="00A60CEF" w:rsidRDefault="0085197A" w:rsidP="00A60CEF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8</w:t>
      </w:r>
      <w:r w:rsidR="00A60CEF">
        <w:rPr>
          <w:rFonts w:ascii="Arial" w:eastAsia="Calibri" w:hAnsi="Arial" w:cs="Arial"/>
          <w:b/>
        </w:rPr>
        <w:t>. HISTORIAL DE REVISIONES</w:t>
      </w: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924"/>
        <w:gridCol w:w="1161"/>
        <w:gridCol w:w="1276"/>
        <w:gridCol w:w="2126"/>
        <w:gridCol w:w="2727"/>
      </w:tblGrid>
      <w:tr w:rsidR="006D1FD2" w14:paraId="0FF67938" w14:textId="77777777" w:rsidTr="00055806">
        <w:tc>
          <w:tcPr>
            <w:tcW w:w="1924" w:type="dxa"/>
            <w:shd w:val="clear" w:color="auto" w:fill="0070C0"/>
            <w:vAlign w:val="center"/>
          </w:tcPr>
          <w:p w14:paraId="4EBF3A75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1161" w:type="dxa"/>
            <w:shd w:val="clear" w:color="auto" w:fill="0070C0"/>
            <w:vAlign w:val="center"/>
          </w:tcPr>
          <w:p w14:paraId="19326BF4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276" w:type="dxa"/>
            <w:shd w:val="clear" w:color="auto" w:fill="0070C0"/>
            <w:vAlign w:val="center"/>
          </w:tcPr>
          <w:p w14:paraId="3E643420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Fecha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25308A37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727" w:type="dxa"/>
            <w:shd w:val="clear" w:color="auto" w:fill="0070C0"/>
            <w:vAlign w:val="center"/>
          </w:tcPr>
          <w:p w14:paraId="52332A9C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Descripción del cambio</w:t>
            </w:r>
          </w:p>
        </w:tc>
      </w:tr>
      <w:tr w:rsidR="00A60CEF" w14:paraId="6FD9EA71" w14:textId="77777777" w:rsidTr="00055806">
        <w:tc>
          <w:tcPr>
            <w:tcW w:w="1924" w:type="dxa"/>
          </w:tcPr>
          <w:p w14:paraId="7D9504F3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1161" w:type="dxa"/>
          </w:tcPr>
          <w:p w14:paraId="58EBD38A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6A1F394F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4AE68648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27" w:type="dxa"/>
          </w:tcPr>
          <w:p w14:paraId="08BA584B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0ECC2D63" w14:textId="77777777" w:rsidTr="00055806">
        <w:tc>
          <w:tcPr>
            <w:tcW w:w="1924" w:type="dxa"/>
          </w:tcPr>
          <w:p w14:paraId="1603EFE8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1161" w:type="dxa"/>
          </w:tcPr>
          <w:p w14:paraId="30175EB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0B9863C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7037801C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27" w:type="dxa"/>
          </w:tcPr>
          <w:p w14:paraId="1C3A9754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74DDF638" w14:textId="77777777" w:rsidTr="00055806">
        <w:tc>
          <w:tcPr>
            <w:tcW w:w="1924" w:type="dxa"/>
          </w:tcPr>
          <w:p w14:paraId="49F5E776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1161" w:type="dxa"/>
          </w:tcPr>
          <w:p w14:paraId="79BD720E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73CD7B45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2CFEED65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27" w:type="dxa"/>
          </w:tcPr>
          <w:p w14:paraId="4AE601C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685C69AA" w14:textId="77777777" w:rsidTr="00055806">
        <w:tc>
          <w:tcPr>
            <w:tcW w:w="1924" w:type="dxa"/>
          </w:tcPr>
          <w:p w14:paraId="023BA986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1161" w:type="dxa"/>
          </w:tcPr>
          <w:p w14:paraId="45E331CD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37FA613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1B6F4582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27" w:type="dxa"/>
          </w:tcPr>
          <w:p w14:paraId="16CA4241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4844EA8F" w14:textId="77777777" w:rsidTr="00055806">
        <w:tc>
          <w:tcPr>
            <w:tcW w:w="1924" w:type="dxa"/>
          </w:tcPr>
          <w:p w14:paraId="3C4E857C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1161" w:type="dxa"/>
          </w:tcPr>
          <w:p w14:paraId="2B63C103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2CF05733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1B4E0178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27" w:type="dxa"/>
          </w:tcPr>
          <w:p w14:paraId="1A9B0614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5BE5AAFF" w14:textId="77777777" w:rsidR="00055806" w:rsidRDefault="00055806" w:rsidP="00055806">
      <w:pPr>
        <w:spacing w:line="256" w:lineRule="auto"/>
        <w:contextualSpacing/>
        <w:jc w:val="both"/>
        <w:rPr>
          <w:rFonts w:ascii="Arial" w:eastAsia="Calibri" w:hAnsi="Arial" w:cs="Arial"/>
          <w:b/>
          <w:lang w:val="es-ES"/>
        </w:rPr>
      </w:pPr>
    </w:p>
    <w:sectPr w:rsidR="00055806" w:rsidSect="00A60C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DED2A" w14:textId="77777777" w:rsidR="00574A34" w:rsidRDefault="00574A34" w:rsidP="00451669">
      <w:pPr>
        <w:spacing w:after="0" w:line="240" w:lineRule="auto"/>
      </w:pPr>
      <w:r>
        <w:separator/>
      </w:r>
    </w:p>
  </w:endnote>
  <w:endnote w:type="continuationSeparator" w:id="0">
    <w:p w14:paraId="71C02E9B" w14:textId="77777777" w:rsidR="00574A34" w:rsidRDefault="00574A34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F18D7" w14:textId="77777777" w:rsidR="000B4A68" w:rsidRDefault="000B4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4451643" w14:textId="3C77880F" w:rsidR="00451669" w:rsidRPr="00D304E6" w:rsidRDefault="00D304E6" w:rsidP="00D304E6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F3943" w:rsidRPr="00BF3943">
          <w:rPr>
            <w:noProof/>
            <w:lang w:val="es-ES"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72021" w14:textId="77777777" w:rsidR="000B4A68" w:rsidRDefault="000B4A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D971A" w14:textId="77777777" w:rsidR="00574A34" w:rsidRDefault="00574A34" w:rsidP="00451669">
      <w:pPr>
        <w:spacing w:after="0" w:line="240" w:lineRule="auto"/>
      </w:pPr>
      <w:r>
        <w:separator/>
      </w:r>
    </w:p>
  </w:footnote>
  <w:footnote w:type="continuationSeparator" w:id="0">
    <w:p w14:paraId="0CCD31AA" w14:textId="77777777" w:rsidR="00574A34" w:rsidRDefault="00574A34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0EFD4" w14:textId="0B43385B" w:rsidR="000B4A68" w:rsidRDefault="00826797">
    <w:pPr>
      <w:pStyle w:val="Header"/>
    </w:pPr>
    <w:r>
      <w:rPr>
        <w:noProof/>
      </w:rPr>
      <w:pict w14:anchorId="7AF45A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559.55pt;height:7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565"/>
      <w:gridCol w:w="1804"/>
      <w:gridCol w:w="2268"/>
      <w:gridCol w:w="2550"/>
      <w:gridCol w:w="1079"/>
    </w:tblGrid>
    <w:tr w:rsidR="00A60CEF" w14:paraId="3527E9F8" w14:textId="77777777" w:rsidTr="002369CD">
      <w:trPr>
        <w:trHeight w:val="699"/>
      </w:trPr>
      <w:tc>
        <w:tcPr>
          <w:tcW w:w="84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9E85AE" w14:textId="4B89F0CA" w:rsidR="00A60CEF" w:rsidRDefault="00826797" w:rsidP="00E04375">
          <w:pPr>
            <w:pStyle w:val="Header"/>
            <w:ind w:left="-142" w:right="-109"/>
            <w:jc w:val="center"/>
          </w:pPr>
          <w:r>
            <w:rPr>
              <w:noProof/>
            </w:rPr>
            <w:pict w14:anchorId="294808E5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27" type="#_x0000_t136" style="position:absolute;left:0;text-align:left;margin-left:0;margin-top:0;width:559.55pt;height:79.9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OCUMENTO PRELIMINAR"/>
                <w10:wrap anchorx="margin" anchory="margin"/>
              </v:shape>
            </w:pict>
          </w:r>
          <w:r w:rsidR="00E04375">
            <w:rPr>
              <w:noProof/>
            </w:rPr>
            <w:drawing>
              <wp:inline distT="0" distB="0" distL="0" distR="0" wp14:anchorId="5F4DE7FF" wp14:editId="44F4467E">
                <wp:extent cx="857250" cy="662305"/>
                <wp:effectExtent l="0" t="0" r="0" b="0"/>
                <wp:docPr id="146608084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3" w:type="pct"/>
          <w:gridSpan w:val="3"/>
          <w:tcBorders>
            <w:left w:val="single" w:sz="4" w:space="0" w:color="auto"/>
          </w:tcBorders>
          <w:vAlign w:val="center"/>
          <w:hideMark/>
        </w:tcPr>
        <w:p w14:paraId="11700486" w14:textId="4DD4EF25" w:rsidR="00A60CEF" w:rsidRPr="00A60CEF" w:rsidRDefault="00BD1441" w:rsidP="00AA6980">
          <w:pPr>
            <w:jc w:val="center"/>
            <w:rPr>
              <w:rFonts w:ascii="Arial" w:hAnsi="Arial" w:cs="Arial"/>
              <w:b/>
            </w:rPr>
          </w:pPr>
          <w:r w:rsidRPr="00BD1441">
            <w:rPr>
              <w:rFonts w:ascii="Arial" w:eastAsia="Calibri" w:hAnsi="Arial" w:cs="Arial"/>
              <w:b/>
              <w:lang w:val="es-ES"/>
            </w:rPr>
            <w:t xml:space="preserve">POLÍTICA SOBRE COMUNICACIÓN EN AUDITORÍA INTERNA </w:t>
          </w:r>
        </w:p>
      </w:tc>
      <w:tc>
        <w:tcPr>
          <w:tcW w:w="582" w:type="pct"/>
          <w:vMerge w:val="restart"/>
          <w:vAlign w:val="center"/>
          <w:hideMark/>
        </w:tcPr>
        <w:p w14:paraId="116A46B9" w14:textId="52185AD3" w:rsidR="00A60CEF" w:rsidRPr="007A58D1" w:rsidRDefault="00A60CEF" w:rsidP="00AA6980">
          <w:pPr>
            <w:pStyle w:val="Header"/>
            <w:jc w:val="center"/>
          </w:pPr>
          <w:r w:rsidRPr="007A58D1">
            <w:t xml:space="preserve">Versión: </w:t>
          </w:r>
          <w:r w:rsidR="00260583">
            <w:t>1.0</w:t>
          </w:r>
        </w:p>
      </w:tc>
    </w:tr>
    <w:tr w:rsidR="000C2DD6" w14:paraId="63D9B2FE" w14:textId="77777777" w:rsidTr="002369CD">
      <w:trPr>
        <w:trHeight w:val="70"/>
      </w:trPr>
      <w:tc>
        <w:tcPr>
          <w:tcW w:w="84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47A2DD" w14:textId="77777777" w:rsidR="00A60CEF" w:rsidRDefault="00A60CEF" w:rsidP="00AA6980"/>
      </w:tc>
      <w:tc>
        <w:tcPr>
          <w:tcW w:w="973" w:type="pct"/>
          <w:tcBorders>
            <w:left w:val="single" w:sz="4" w:space="0" w:color="auto"/>
          </w:tcBorders>
          <w:vAlign w:val="center"/>
          <w:hideMark/>
        </w:tcPr>
        <w:p w14:paraId="723FD4F8" w14:textId="77777777" w:rsidR="00A60CEF" w:rsidRPr="007A58D1" w:rsidRDefault="00A60CEF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24" w:type="pct"/>
          <w:tcBorders>
            <w:left w:val="single" w:sz="4" w:space="0" w:color="auto"/>
          </w:tcBorders>
          <w:vAlign w:val="center"/>
        </w:tcPr>
        <w:p w14:paraId="15DA2263" w14:textId="254FD087" w:rsidR="00A60CEF" w:rsidRPr="007A58D1" w:rsidRDefault="00A60CEF" w:rsidP="00AA6980">
          <w:pPr>
            <w:pStyle w:val="Header"/>
            <w:jc w:val="both"/>
          </w:pPr>
          <w:r w:rsidRPr="007A58D1">
            <w:t>CODIGO</w:t>
          </w:r>
          <w:r w:rsidR="00B65B18">
            <w:t>:</w:t>
          </w:r>
        </w:p>
      </w:tc>
      <w:tc>
        <w:tcPr>
          <w:tcW w:w="1376" w:type="pct"/>
          <w:vAlign w:val="center"/>
        </w:tcPr>
        <w:p w14:paraId="6C65DFD7" w14:textId="01FF8DBC" w:rsidR="00A60CEF" w:rsidRPr="007A58D1" w:rsidRDefault="00A60CEF" w:rsidP="00AA6980">
          <w:pPr>
            <w:pStyle w:val="Header"/>
            <w:jc w:val="both"/>
          </w:pPr>
          <w:r w:rsidRPr="007A58D1">
            <w:t>VIGENCIA:</w:t>
          </w:r>
          <w:r w:rsidR="002369CD">
            <w:t xml:space="preserve"> </w:t>
          </w:r>
        </w:p>
      </w:tc>
      <w:tc>
        <w:tcPr>
          <w:tcW w:w="582" w:type="pct"/>
          <w:vMerge/>
          <w:vAlign w:val="center"/>
          <w:hideMark/>
        </w:tcPr>
        <w:p w14:paraId="1B493DEF" w14:textId="77777777" w:rsidR="00A60CEF" w:rsidRPr="009F6386" w:rsidRDefault="00A60CEF" w:rsidP="00AA6980">
          <w:pPr>
            <w:jc w:val="center"/>
            <w:rPr>
              <w:b/>
            </w:rPr>
          </w:pPr>
        </w:p>
      </w:tc>
    </w:tr>
  </w:tbl>
  <w:p w14:paraId="0EF30933" w14:textId="7D45C580" w:rsidR="00451669" w:rsidRPr="00F356E7" w:rsidRDefault="00451669" w:rsidP="00A6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A2D36" w14:textId="074BF03B" w:rsidR="000B4A68" w:rsidRDefault="00826797">
    <w:pPr>
      <w:pStyle w:val="Header"/>
    </w:pPr>
    <w:r>
      <w:rPr>
        <w:noProof/>
      </w:rPr>
      <w:pict w14:anchorId="0F8F4B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margin-left:0;margin-top:0;width:559.55pt;height:7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195E"/>
    <w:multiLevelType w:val="multilevel"/>
    <w:tmpl w:val="D4BCA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06632"/>
    <w:multiLevelType w:val="multilevel"/>
    <w:tmpl w:val="C0F4C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276F2"/>
    <w:multiLevelType w:val="hybridMultilevel"/>
    <w:tmpl w:val="D02E1DC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F7EC4"/>
    <w:multiLevelType w:val="hybridMultilevel"/>
    <w:tmpl w:val="CC9ACAF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23439"/>
    <w:multiLevelType w:val="hybridMultilevel"/>
    <w:tmpl w:val="75467B2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C61BA"/>
    <w:multiLevelType w:val="hybridMultilevel"/>
    <w:tmpl w:val="B426A8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22E3A"/>
    <w:multiLevelType w:val="hybridMultilevel"/>
    <w:tmpl w:val="3AE0F47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5E15B4"/>
    <w:multiLevelType w:val="hybridMultilevel"/>
    <w:tmpl w:val="92EE5D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1A7358"/>
    <w:multiLevelType w:val="hybridMultilevel"/>
    <w:tmpl w:val="A98E513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87CCB"/>
    <w:multiLevelType w:val="hybridMultilevel"/>
    <w:tmpl w:val="7CC64E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8097D"/>
    <w:multiLevelType w:val="hybridMultilevel"/>
    <w:tmpl w:val="AA38934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00296">
      <w:numFmt w:val="bullet"/>
      <w:lvlText w:val="•"/>
      <w:lvlJc w:val="left"/>
      <w:pPr>
        <w:ind w:left="1425" w:hanging="705"/>
      </w:pPr>
      <w:rPr>
        <w:rFonts w:ascii="Arial" w:eastAsia="Calibri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D325A1"/>
    <w:multiLevelType w:val="multilevel"/>
    <w:tmpl w:val="9146B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19647F"/>
    <w:multiLevelType w:val="hybridMultilevel"/>
    <w:tmpl w:val="41A0F1C0"/>
    <w:lvl w:ilvl="0" w:tplc="6DB4FAF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A84BFD"/>
    <w:multiLevelType w:val="hybridMultilevel"/>
    <w:tmpl w:val="B7B8A2E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0C77F5"/>
    <w:multiLevelType w:val="multilevel"/>
    <w:tmpl w:val="86CA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C92182"/>
    <w:multiLevelType w:val="hybridMultilevel"/>
    <w:tmpl w:val="40BCB7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E11D7"/>
    <w:multiLevelType w:val="multilevel"/>
    <w:tmpl w:val="121C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10854"/>
    <w:multiLevelType w:val="multilevel"/>
    <w:tmpl w:val="4D985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7228B7"/>
    <w:multiLevelType w:val="hybridMultilevel"/>
    <w:tmpl w:val="DC76251E"/>
    <w:lvl w:ilvl="0" w:tplc="D19C004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36F97"/>
    <w:multiLevelType w:val="hybridMultilevel"/>
    <w:tmpl w:val="60DEA2C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B10727"/>
    <w:multiLevelType w:val="hybridMultilevel"/>
    <w:tmpl w:val="32C8751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C51949"/>
    <w:multiLevelType w:val="hybridMultilevel"/>
    <w:tmpl w:val="9474A4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7F7377"/>
    <w:multiLevelType w:val="hybridMultilevel"/>
    <w:tmpl w:val="EBACE2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175B6"/>
    <w:multiLevelType w:val="hybridMultilevel"/>
    <w:tmpl w:val="3A22A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2489E"/>
    <w:multiLevelType w:val="multilevel"/>
    <w:tmpl w:val="3AA4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DF0B0E"/>
    <w:multiLevelType w:val="multilevel"/>
    <w:tmpl w:val="74A0A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6B7794"/>
    <w:multiLevelType w:val="hybridMultilevel"/>
    <w:tmpl w:val="8D3CBDC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F41EC3"/>
    <w:multiLevelType w:val="hybridMultilevel"/>
    <w:tmpl w:val="A32A03F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31667034">
    <w:abstractNumId w:val="7"/>
  </w:num>
  <w:num w:numId="2" w16cid:durableId="1090392332">
    <w:abstractNumId w:val="6"/>
  </w:num>
  <w:num w:numId="3" w16cid:durableId="1800293125">
    <w:abstractNumId w:val="9"/>
  </w:num>
  <w:num w:numId="4" w16cid:durableId="687952329">
    <w:abstractNumId w:val="20"/>
  </w:num>
  <w:num w:numId="5" w16cid:durableId="1949508156">
    <w:abstractNumId w:val="18"/>
  </w:num>
  <w:num w:numId="6" w16cid:durableId="128129973">
    <w:abstractNumId w:val="10"/>
  </w:num>
  <w:num w:numId="7" w16cid:durableId="899437551">
    <w:abstractNumId w:val="12"/>
  </w:num>
  <w:num w:numId="8" w16cid:durableId="18818045">
    <w:abstractNumId w:val="19"/>
  </w:num>
  <w:num w:numId="9" w16cid:durableId="952244770">
    <w:abstractNumId w:val="21"/>
  </w:num>
  <w:num w:numId="10" w16cid:durableId="1649899686">
    <w:abstractNumId w:val="27"/>
  </w:num>
  <w:num w:numId="11" w16cid:durableId="217938536">
    <w:abstractNumId w:val="13"/>
  </w:num>
  <w:num w:numId="12" w16cid:durableId="1113088708">
    <w:abstractNumId w:val="26"/>
  </w:num>
  <w:num w:numId="13" w16cid:durableId="388651726">
    <w:abstractNumId w:val="24"/>
  </w:num>
  <w:num w:numId="14" w16cid:durableId="349533900">
    <w:abstractNumId w:val="16"/>
  </w:num>
  <w:num w:numId="15" w16cid:durableId="647518317">
    <w:abstractNumId w:val="17"/>
  </w:num>
  <w:num w:numId="16" w16cid:durableId="2134521285">
    <w:abstractNumId w:val="2"/>
  </w:num>
  <w:num w:numId="17" w16cid:durableId="1261256451">
    <w:abstractNumId w:val="3"/>
  </w:num>
  <w:num w:numId="18" w16cid:durableId="115877153">
    <w:abstractNumId w:val="4"/>
  </w:num>
  <w:num w:numId="19" w16cid:durableId="1654869719">
    <w:abstractNumId w:val="22"/>
  </w:num>
  <w:num w:numId="20" w16cid:durableId="872157311">
    <w:abstractNumId w:val="14"/>
  </w:num>
  <w:num w:numId="21" w16cid:durableId="233781617">
    <w:abstractNumId w:val="0"/>
  </w:num>
  <w:num w:numId="22" w16cid:durableId="245505193">
    <w:abstractNumId w:val="25"/>
  </w:num>
  <w:num w:numId="23" w16cid:durableId="1705665886">
    <w:abstractNumId w:val="11"/>
  </w:num>
  <w:num w:numId="24" w16cid:durableId="384987790">
    <w:abstractNumId w:val="1"/>
  </w:num>
  <w:num w:numId="25" w16cid:durableId="1858735725">
    <w:abstractNumId w:val="5"/>
  </w:num>
  <w:num w:numId="26" w16cid:durableId="135607261">
    <w:abstractNumId w:val="23"/>
  </w:num>
  <w:num w:numId="27" w16cid:durableId="1711225570">
    <w:abstractNumId w:val="8"/>
  </w:num>
  <w:num w:numId="28" w16cid:durableId="16551397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266"/>
    <w:rsid w:val="00005CA2"/>
    <w:rsid w:val="000076E0"/>
    <w:rsid w:val="000134C8"/>
    <w:rsid w:val="00032873"/>
    <w:rsid w:val="00036648"/>
    <w:rsid w:val="00055806"/>
    <w:rsid w:val="00057079"/>
    <w:rsid w:val="00057B75"/>
    <w:rsid w:val="0009013B"/>
    <w:rsid w:val="000A0B89"/>
    <w:rsid w:val="000A1E1C"/>
    <w:rsid w:val="000B4A68"/>
    <w:rsid w:val="000C2DD6"/>
    <w:rsid w:val="000F542A"/>
    <w:rsid w:val="00100A4B"/>
    <w:rsid w:val="00104EC1"/>
    <w:rsid w:val="00127E77"/>
    <w:rsid w:val="00132364"/>
    <w:rsid w:val="00132A8B"/>
    <w:rsid w:val="00134F05"/>
    <w:rsid w:val="00183464"/>
    <w:rsid w:val="00183584"/>
    <w:rsid w:val="00193394"/>
    <w:rsid w:val="001940D7"/>
    <w:rsid w:val="001A1F50"/>
    <w:rsid w:val="001A7CBC"/>
    <w:rsid w:val="001B265C"/>
    <w:rsid w:val="001B322F"/>
    <w:rsid w:val="001E2AC5"/>
    <w:rsid w:val="001F2336"/>
    <w:rsid w:val="001F3554"/>
    <w:rsid w:val="001F5FCE"/>
    <w:rsid w:val="0020057F"/>
    <w:rsid w:val="00201314"/>
    <w:rsid w:val="00205189"/>
    <w:rsid w:val="002369CD"/>
    <w:rsid w:val="00237D2A"/>
    <w:rsid w:val="002556C5"/>
    <w:rsid w:val="00260583"/>
    <w:rsid w:val="0026085A"/>
    <w:rsid w:val="00267305"/>
    <w:rsid w:val="002A3432"/>
    <w:rsid w:val="002C1537"/>
    <w:rsid w:val="002D2C77"/>
    <w:rsid w:val="002D62B7"/>
    <w:rsid w:val="002E46CE"/>
    <w:rsid w:val="00307EAA"/>
    <w:rsid w:val="00323B2F"/>
    <w:rsid w:val="003339CF"/>
    <w:rsid w:val="0034195B"/>
    <w:rsid w:val="00346610"/>
    <w:rsid w:val="00361213"/>
    <w:rsid w:val="003659DC"/>
    <w:rsid w:val="003A0026"/>
    <w:rsid w:val="003C6BE5"/>
    <w:rsid w:val="003E7611"/>
    <w:rsid w:val="003F1DED"/>
    <w:rsid w:val="003F3EE1"/>
    <w:rsid w:val="003F7E48"/>
    <w:rsid w:val="00401548"/>
    <w:rsid w:val="00412D2F"/>
    <w:rsid w:val="00425BA5"/>
    <w:rsid w:val="00436A34"/>
    <w:rsid w:val="0044677A"/>
    <w:rsid w:val="00446E7D"/>
    <w:rsid w:val="00446ECA"/>
    <w:rsid w:val="00451669"/>
    <w:rsid w:val="004552B4"/>
    <w:rsid w:val="00466385"/>
    <w:rsid w:val="00471025"/>
    <w:rsid w:val="004751F0"/>
    <w:rsid w:val="00475862"/>
    <w:rsid w:val="004851BF"/>
    <w:rsid w:val="0048676A"/>
    <w:rsid w:val="00491EAE"/>
    <w:rsid w:val="004A23D1"/>
    <w:rsid w:val="004B01C9"/>
    <w:rsid w:val="004C1681"/>
    <w:rsid w:val="005037B1"/>
    <w:rsid w:val="00504482"/>
    <w:rsid w:val="00531DA3"/>
    <w:rsid w:val="00551C21"/>
    <w:rsid w:val="00555402"/>
    <w:rsid w:val="00574A30"/>
    <w:rsid w:val="00574A34"/>
    <w:rsid w:val="0058354D"/>
    <w:rsid w:val="005907C1"/>
    <w:rsid w:val="005B37BA"/>
    <w:rsid w:val="005B4679"/>
    <w:rsid w:val="005C3D3F"/>
    <w:rsid w:val="005C5C17"/>
    <w:rsid w:val="005D24B6"/>
    <w:rsid w:val="005D4A8B"/>
    <w:rsid w:val="005E5E09"/>
    <w:rsid w:val="0060471D"/>
    <w:rsid w:val="00614EFA"/>
    <w:rsid w:val="00636182"/>
    <w:rsid w:val="00643266"/>
    <w:rsid w:val="00657B78"/>
    <w:rsid w:val="00672238"/>
    <w:rsid w:val="00681286"/>
    <w:rsid w:val="00687A70"/>
    <w:rsid w:val="006C4C11"/>
    <w:rsid w:val="006C5560"/>
    <w:rsid w:val="006D1FD2"/>
    <w:rsid w:val="006D3AD7"/>
    <w:rsid w:val="006D4060"/>
    <w:rsid w:val="007036C2"/>
    <w:rsid w:val="00703A80"/>
    <w:rsid w:val="00724EE4"/>
    <w:rsid w:val="00734A59"/>
    <w:rsid w:val="00740675"/>
    <w:rsid w:val="00742B68"/>
    <w:rsid w:val="007442D2"/>
    <w:rsid w:val="0075718C"/>
    <w:rsid w:val="00761F0E"/>
    <w:rsid w:val="00762DC5"/>
    <w:rsid w:val="00763586"/>
    <w:rsid w:val="007675B3"/>
    <w:rsid w:val="00773528"/>
    <w:rsid w:val="00796D86"/>
    <w:rsid w:val="007B5DDC"/>
    <w:rsid w:val="007C02E1"/>
    <w:rsid w:val="007C1302"/>
    <w:rsid w:val="007D2F6B"/>
    <w:rsid w:val="007E271B"/>
    <w:rsid w:val="007F4D78"/>
    <w:rsid w:val="007F7816"/>
    <w:rsid w:val="007F7DE0"/>
    <w:rsid w:val="00801B04"/>
    <w:rsid w:val="0080678A"/>
    <w:rsid w:val="00826797"/>
    <w:rsid w:val="00831E14"/>
    <w:rsid w:val="0085197A"/>
    <w:rsid w:val="00884513"/>
    <w:rsid w:val="00894EEC"/>
    <w:rsid w:val="008A1F31"/>
    <w:rsid w:val="008A7E3F"/>
    <w:rsid w:val="008C63C6"/>
    <w:rsid w:val="008E1F85"/>
    <w:rsid w:val="008E5E37"/>
    <w:rsid w:val="008E7FC9"/>
    <w:rsid w:val="008F0520"/>
    <w:rsid w:val="008F2C9C"/>
    <w:rsid w:val="008F4A13"/>
    <w:rsid w:val="009200F0"/>
    <w:rsid w:val="009232F6"/>
    <w:rsid w:val="00946EFC"/>
    <w:rsid w:val="009525FA"/>
    <w:rsid w:val="00973EBE"/>
    <w:rsid w:val="00997CF9"/>
    <w:rsid w:val="009A794D"/>
    <w:rsid w:val="009B6494"/>
    <w:rsid w:val="009D66DA"/>
    <w:rsid w:val="00A17089"/>
    <w:rsid w:val="00A30B2D"/>
    <w:rsid w:val="00A41070"/>
    <w:rsid w:val="00A55801"/>
    <w:rsid w:val="00A60CEF"/>
    <w:rsid w:val="00A7436D"/>
    <w:rsid w:val="00A77CCD"/>
    <w:rsid w:val="00A856D6"/>
    <w:rsid w:val="00A87B52"/>
    <w:rsid w:val="00A95336"/>
    <w:rsid w:val="00A97B6A"/>
    <w:rsid w:val="00AA4CB3"/>
    <w:rsid w:val="00AB4C9C"/>
    <w:rsid w:val="00AB71B0"/>
    <w:rsid w:val="00AC033B"/>
    <w:rsid w:val="00AC4A2D"/>
    <w:rsid w:val="00AE5526"/>
    <w:rsid w:val="00B1421F"/>
    <w:rsid w:val="00B161AF"/>
    <w:rsid w:val="00B208D5"/>
    <w:rsid w:val="00B23CAE"/>
    <w:rsid w:val="00B318FB"/>
    <w:rsid w:val="00B42CA8"/>
    <w:rsid w:val="00B522D5"/>
    <w:rsid w:val="00B65B18"/>
    <w:rsid w:val="00B82FF8"/>
    <w:rsid w:val="00BA464D"/>
    <w:rsid w:val="00BD1441"/>
    <w:rsid w:val="00BE30B4"/>
    <w:rsid w:val="00BE3FE6"/>
    <w:rsid w:val="00BE580D"/>
    <w:rsid w:val="00BE6EB8"/>
    <w:rsid w:val="00BF3943"/>
    <w:rsid w:val="00BF3DA1"/>
    <w:rsid w:val="00BF43BC"/>
    <w:rsid w:val="00C215FB"/>
    <w:rsid w:val="00C345F5"/>
    <w:rsid w:val="00C357E9"/>
    <w:rsid w:val="00C546DE"/>
    <w:rsid w:val="00C557A5"/>
    <w:rsid w:val="00C6061A"/>
    <w:rsid w:val="00C67413"/>
    <w:rsid w:val="00C73B17"/>
    <w:rsid w:val="00C75956"/>
    <w:rsid w:val="00C862FE"/>
    <w:rsid w:val="00C87208"/>
    <w:rsid w:val="00CA0209"/>
    <w:rsid w:val="00CA2038"/>
    <w:rsid w:val="00CA72D7"/>
    <w:rsid w:val="00CC5F01"/>
    <w:rsid w:val="00CE38AA"/>
    <w:rsid w:val="00CE4F61"/>
    <w:rsid w:val="00D2157C"/>
    <w:rsid w:val="00D25E1A"/>
    <w:rsid w:val="00D304E6"/>
    <w:rsid w:val="00D32BFD"/>
    <w:rsid w:val="00D43048"/>
    <w:rsid w:val="00D4476F"/>
    <w:rsid w:val="00D56435"/>
    <w:rsid w:val="00D72575"/>
    <w:rsid w:val="00D76D85"/>
    <w:rsid w:val="00D970B5"/>
    <w:rsid w:val="00DF13A7"/>
    <w:rsid w:val="00E04375"/>
    <w:rsid w:val="00E1040E"/>
    <w:rsid w:val="00E10DAE"/>
    <w:rsid w:val="00E22F2B"/>
    <w:rsid w:val="00E30D7E"/>
    <w:rsid w:val="00E335D6"/>
    <w:rsid w:val="00E4526F"/>
    <w:rsid w:val="00E63685"/>
    <w:rsid w:val="00E7220B"/>
    <w:rsid w:val="00E75C33"/>
    <w:rsid w:val="00E80816"/>
    <w:rsid w:val="00E8142D"/>
    <w:rsid w:val="00E92488"/>
    <w:rsid w:val="00E967BC"/>
    <w:rsid w:val="00EA2BCE"/>
    <w:rsid w:val="00EB66C9"/>
    <w:rsid w:val="00EE2E42"/>
    <w:rsid w:val="00EE4A8F"/>
    <w:rsid w:val="00F07572"/>
    <w:rsid w:val="00F3094A"/>
    <w:rsid w:val="00F356E7"/>
    <w:rsid w:val="00F400E4"/>
    <w:rsid w:val="00F67FC0"/>
    <w:rsid w:val="00F748E2"/>
    <w:rsid w:val="00F87D28"/>
    <w:rsid w:val="00FA7D8D"/>
    <w:rsid w:val="00FB2AD7"/>
    <w:rsid w:val="00FB3AAB"/>
    <w:rsid w:val="00FB74D5"/>
    <w:rsid w:val="00FD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09AB2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paragraph" w:styleId="Heading1">
    <w:name w:val="heading 1"/>
    <w:basedOn w:val="Normal"/>
    <w:next w:val="Normal"/>
    <w:link w:val="Heading1Char"/>
    <w:uiPriority w:val="9"/>
    <w:qFormat/>
    <w:rsid w:val="00A60C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35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35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0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60C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2">
    <w:name w:val="Body Text 2"/>
    <w:basedOn w:val="Normal"/>
    <w:link w:val="BodyText2Char"/>
    <w:unhideWhenUsed/>
    <w:rsid w:val="00A60CEF"/>
    <w:pPr>
      <w:spacing w:after="120" w:line="480" w:lineRule="auto"/>
      <w:jc w:val="both"/>
    </w:pPr>
    <w:rPr>
      <w:lang w:val="es-ES"/>
    </w:rPr>
  </w:style>
  <w:style w:type="character" w:customStyle="1" w:styleId="BodyText2Char">
    <w:name w:val="Body Text 2 Char"/>
    <w:basedOn w:val="DefaultParagraphFont"/>
    <w:link w:val="BodyText2"/>
    <w:rsid w:val="00A60CEF"/>
    <w:rPr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35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35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23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23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32364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7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4751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5</Pages>
  <Words>1431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185</cp:revision>
  <dcterms:created xsi:type="dcterms:W3CDTF">2021-02-25T19:38:00Z</dcterms:created>
  <dcterms:modified xsi:type="dcterms:W3CDTF">2025-10-15T19:37:00Z</dcterms:modified>
</cp:coreProperties>
</file>